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A69BE" w14:textId="77777777" w:rsidR="004E785D" w:rsidRPr="004E785D" w:rsidRDefault="004E785D" w:rsidP="004E785D">
      <w:pPr>
        <w:jc w:val="center"/>
        <w:rPr>
          <w:rFonts w:ascii="Verdana" w:hAnsi="Verdana"/>
          <w:b/>
          <w:sz w:val="28"/>
          <w:szCs w:val="28"/>
        </w:rPr>
      </w:pPr>
      <w:r>
        <w:rPr>
          <w:noProof/>
          <w:lang w:eastAsia="en-NZ"/>
        </w:rPr>
        <w:drawing>
          <wp:inline distT="0" distB="0" distL="0" distR="0" wp14:anchorId="3D73CE62" wp14:editId="1EC15541">
            <wp:extent cx="5581015" cy="457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015" cy="457200"/>
                    </a:xfrm>
                    <a:prstGeom prst="rect">
                      <a:avLst/>
                    </a:prstGeom>
                    <a:noFill/>
                  </pic:spPr>
                </pic:pic>
              </a:graphicData>
            </a:graphic>
          </wp:inline>
        </w:drawing>
      </w:r>
    </w:p>
    <w:p w14:paraId="0CE759BF" w14:textId="77777777" w:rsidR="004E785D" w:rsidRDefault="004E785D">
      <w:pPr>
        <w:rPr>
          <w:rFonts w:ascii="Verdana" w:hAnsi="Verdana"/>
          <w:b/>
        </w:rPr>
      </w:pPr>
    </w:p>
    <w:p w14:paraId="226A9EF3" w14:textId="3EC11E64" w:rsidR="00653A3B" w:rsidRDefault="00653A3B">
      <w:pPr>
        <w:rPr>
          <w:rFonts w:ascii="Verdana" w:hAnsi="Verdana"/>
        </w:rPr>
      </w:pPr>
      <w:r>
        <w:rPr>
          <w:rFonts w:ascii="Verdana" w:hAnsi="Verdana"/>
          <w:b/>
        </w:rPr>
        <w:t xml:space="preserve">Minutes: </w:t>
      </w:r>
      <w:r w:rsidR="006455D2">
        <w:rPr>
          <w:rFonts w:ascii="Verdana" w:hAnsi="Verdana"/>
        </w:rPr>
        <w:t xml:space="preserve">Wednesday </w:t>
      </w:r>
      <w:r w:rsidR="00957CEB">
        <w:rPr>
          <w:rFonts w:ascii="Verdana" w:hAnsi="Verdana"/>
        </w:rPr>
        <w:t>3</w:t>
      </w:r>
      <w:r w:rsidR="00957CEB" w:rsidRPr="00957CEB">
        <w:rPr>
          <w:rFonts w:ascii="Verdana" w:hAnsi="Verdana"/>
          <w:vertAlign w:val="superscript"/>
        </w:rPr>
        <w:t>rd</w:t>
      </w:r>
      <w:r w:rsidR="00957CEB">
        <w:rPr>
          <w:rFonts w:ascii="Verdana" w:hAnsi="Verdana"/>
        </w:rPr>
        <w:t xml:space="preserve"> February</w:t>
      </w:r>
      <w:r w:rsidR="00305E68">
        <w:rPr>
          <w:rFonts w:ascii="Verdana" w:hAnsi="Verdana"/>
        </w:rPr>
        <w:t xml:space="preserve"> 2020 10:00am – 2:00pm</w:t>
      </w:r>
    </w:p>
    <w:p w14:paraId="7E24F112" w14:textId="22D5A725" w:rsidR="009B59D5" w:rsidRPr="009B59D5" w:rsidRDefault="00833F69" w:rsidP="00A32349">
      <w:pPr>
        <w:pStyle w:val="Heading1"/>
        <w:tabs>
          <w:tab w:val="left" w:pos="1276"/>
        </w:tabs>
        <w:spacing w:before="0" w:line="240" w:lineRule="auto"/>
      </w:pPr>
      <w:r w:rsidRPr="00331963">
        <w:rPr>
          <w:rFonts w:ascii="Verdana" w:eastAsiaTheme="minorHAnsi" w:hAnsi="Verdana" w:cstheme="minorBidi"/>
          <w:bCs w:val="0"/>
          <w:color w:val="auto"/>
          <w:sz w:val="22"/>
          <w:szCs w:val="22"/>
          <w:lang w:val="en-NZ"/>
        </w:rPr>
        <w:t>Held At:</w:t>
      </w:r>
      <w:r>
        <w:rPr>
          <w:rFonts w:ascii="Verdana" w:hAnsi="Verdana"/>
        </w:rPr>
        <w:t xml:space="preserve"> </w:t>
      </w:r>
      <w:r w:rsidR="00957CEB">
        <w:rPr>
          <w:rFonts w:ascii="Verdana" w:hAnsi="Verdana"/>
          <w:b w:val="0"/>
          <w:color w:val="auto"/>
          <w:sz w:val="22"/>
          <w:szCs w:val="22"/>
        </w:rPr>
        <w:t xml:space="preserve">BP Oil NZ </w:t>
      </w:r>
      <w:r w:rsidR="00305E68" w:rsidRPr="00305E68">
        <w:rPr>
          <w:rFonts w:ascii="Verdana" w:hAnsi="Verdana"/>
          <w:b w:val="0"/>
          <w:color w:val="auto"/>
          <w:sz w:val="22"/>
          <w:szCs w:val="22"/>
        </w:rPr>
        <w:t>Offices</w:t>
      </w:r>
      <w:r w:rsidR="00305E68">
        <w:rPr>
          <w:rFonts w:ascii="Verdana" w:hAnsi="Verdana"/>
          <w:b w:val="0"/>
          <w:color w:val="auto"/>
          <w:sz w:val="22"/>
          <w:szCs w:val="22"/>
        </w:rPr>
        <w:t xml:space="preserve"> – </w:t>
      </w:r>
      <w:r w:rsidR="00957CEB">
        <w:rPr>
          <w:rFonts w:ascii="Verdana" w:hAnsi="Verdana"/>
          <w:b w:val="0"/>
          <w:color w:val="auto"/>
          <w:sz w:val="22"/>
          <w:szCs w:val="22"/>
        </w:rPr>
        <w:t>Remuera</w:t>
      </w:r>
      <w:r w:rsidR="00305E68">
        <w:rPr>
          <w:rFonts w:ascii="Verdana" w:hAnsi="Verdana"/>
          <w:b w:val="0"/>
          <w:color w:val="auto"/>
          <w:sz w:val="22"/>
          <w:szCs w:val="22"/>
        </w:rPr>
        <w:t xml:space="preserve"> Road, Auckland</w:t>
      </w:r>
    </w:p>
    <w:p w14:paraId="13B742B5" w14:textId="77777777" w:rsidR="00BC22C6" w:rsidRPr="00BC22C6" w:rsidRDefault="00BC22C6" w:rsidP="00BC22C6"/>
    <w:tbl>
      <w:tblPr>
        <w:tblStyle w:val="TableGrid"/>
        <w:tblW w:w="0" w:type="auto"/>
        <w:tblLook w:val="04A0" w:firstRow="1" w:lastRow="0" w:firstColumn="1" w:lastColumn="0" w:noHBand="0" w:noVBand="1"/>
      </w:tblPr>
      <w:tblGrid>
        <w:gridCol w:w="6748"/>
        <w:gridCol w:w="2268"/>
      </w:tblGrid>
      <w:tr w:rsidR="00653A3B" w14:paraId="77996284" w14:textId="77777777" w:rsidTr="008B3B33">
        <w:tc>
          <w:tcPr>
            <w:tcW w:w="6748" w:type="dxa"/>
          </w:tcPr>
          <w:p w14:paraId="0414E2F1" w14:textId="77777777" w:rsidR="00653A3B" w:rsidRPr="004104FD" w:rsidRDefault="00653A3B" w:rsidP="00405A07">
            <w:pPr>
              <w:rPr>
                <w:b/>
              </w:rPr>
            </w:pPr>
            <w:r w:rsidRPr="004104FD">
              <w:rPr>
                <w:b/>
              </w:rPr>
              <w:t>Subject</w:t>
            </w:r>
          </w:p>
        </w:tc>
        <w:tc>
          <w:tcPr>
            <w:tcW w:w="2268" w:type="dxa"/>
          </w:tcPr>
          <w:p w14:paraId="3052E7F5" w14:textId="77777777" w:rsidR="00653A3B" w:rsidRPr="004104FD" w:rsidRDefault="00653A3B" w:rsidP="00405A07">
            <w:pPr>
              <w:rPr>
                <w:b/>
              </w:rPr>
            </w:pPr>
            <w:r w:rsidRPr="004104FD">
              <w:rPr>
                <w:b/>
              </w:rPr>
              <w:t>Action/Decision</w:t>
            </w:r>
          </w:p>
        </w:tc>
      </w:tr>
      <w:tr w:rsidR="00653A3B" w14:paraId="66E6C908" w14:textId="77777777" w:rsidTr="008B3B33">
        <w:tc>
          <w:tcPr>
            <w:tcW w:w="6748" w:type="dxa"/>
          </w:tcPr>
          <w:p w14:paraId="52654ADA" w14:textId="4B4AFF09" w:rsidR="00653A3B" w:rsidRDefault="00653A3B" w:rsidP="00405A07">
            <w:pPr>
              <w:rPr>
                <w:b/>
              </w:rPr>
            </w:pPr>
            <w:r w:rsidRPr="004104FD">
              <w:rPr>
                <w:b/>
              </w:rPr>
              <w:t>A</w:t>
            </w:r>
            <w:r w:rsidR="009A5972">
              <w:rPr>
                <w:b/>
              </w:rPr>
              <w:t>t</w:t>
            </w:r>
            <w:r w:rsidRPr="004104FD">
              <w:rPr>
                <w:b/>
              </w:rPr>
              <w:t>tendees</w:t>
            </w:r>
            <w:r>
              <w:rPr>
                <w:b/>
              </w:rPr>
              <w:t>:</w:t>
            </w:r>
          </w:p>
          <w:p w14:paraId="5037F993" w14:textId="63CC35DA" w:rsidR="00A66466" w:rsidRDefault="00A66466" w:rsidP="00A66466">
            <w:r w:rsidRPr="003F1752">
              <w:t>Jessica Milich (BP)</w:t>
            </w:r>
          </w:p>
          <w:p w14:paraId="2C3AD7C9" w14:textId="6093D9B9" w:rsidR="00305E68" w:rsidRDefault="00305E68" w:rsidP="00A66466">
            <w:r>
              <w:t>Justin Johnston (Z Energy)</w:t>
            </w:r>
          </w:p>
          <w:p w14:paraId="0E730C1E" w14:textId="5AEC169E" w:rsidR="00305E68" w:rsidRDefault="00305E68" w:rsidP="00A66466">
            <w:r>
              <w:t xml:space="preserve">Eugene </w:t>
            </w:r>
            <w:r w:rsidR="00B64FE9">
              <w:t xml:space="preserve">Nicholson </w:t>
            </w:r>
            <w:r>
              <w:t>(Z Energy)</w:t>
            </w:r>
          </w:p>
          <w:p w14:paraId="7EF19075" w14:textId="77777777" w:rsidR="00957CEB" w:rsidRPr="003F1752" w:rsidRDefault="00957CEB" w:rsidP="00957CEB">
            <w:r w:rsidRPr="003F1752">
              <w:t xml:space="preserve">Tau Matiza (Z Energy) </w:t>
            </w:r>
          </w:p>
          <w:p w14:paraId="3CCBC9C3" w14:textId="56FCED79" w:rsidR="00E15B56" w:rsidRPr="003F1752" w:rsidRDefault="00E15B56" w:rsidP="00E15B56">
            <w:r w:rsidRPr="003F1752">
              <w:t>Greg Pert (Tranzliquid Logistics Ltd)</w:t>
            </w:r>
          </w:p>
          <w:p w14:paraId="054ADCF3" w14:textId="77777777" w:rsidR="00305E68" w:rsidRPr="003F1752" w:rsidRDefault="00305E68" w:rsidP="00305E68">
            <w:r w:rsidRPr="003F1752">
              <w:t>Gareth Pert (Tranzliquid Logistics Ltd)</w:t>
            </w:r>
          </w:p>
          <w:p w14:paraId="6626A39D" w14:textId="347FE655" w:rsidR="00276A63" w:rsidRPr="003F1752" w:rsidRDefault="00276A63" w:rsidP="003D6A52">
            <w:r w:rsidRPr="003F1752">
              <w:t>Mark Allen (MFI)</w:t>
            </w:r>
          </w:p>
          <w:p w14:paraId="38C33B4E" w14:textId="095D20B1" w:rsidR="00276A63" w:rsidRPr="003F1752" w:rsidRDefault="00276A63" w:rsidP="00276A63">
            <w:r w:rsidRPr="003F1752">
              <w:t>Neil Boys (Tanker Engineering)</w:t>
            </w:r>
          </w:p>
          <w:p w14:paraId="54BBD7E7" w14:textId="63058F1C" w:rsidR="008D5D4D" w:rsidRPr="003F1752" w:rsidRDefault="00957CEB" w:rsidP="00276A63">
            <w:r>
              <w:t>Wayne Harris</w:t>
            </w:r>
            <w:r w:rsidR="008D5D4D" w:rsidRPr="003F1752">
              <w:t xml:space="preserve"> (P</w:t>
            </w:r>
            <w:r>
              <w:t xml:space="preserve">acific </w:t>
            </w:r>
            <w:r w:rsidR="008D5D4D" w:rsidRPr="003F1752">
              <w:t>F</w:t>
            </w:r>
            <w:r>
              <w:t xml:space="preserve">uel </w:t>
            </w:r>
            <w:r w:rsidR="008D5D4D" w:rsidRPr="003F1752">
              <w:t>H</w:t>
            </w:r>
            <w:r>
              <w:t>aulage</w:t>
            </w:r>
            <w:r w:rsidR="008D5D4D" w:rsidRPr="003F1752">
              <w:t>)</w:t>
            </w:r>
          </w:p>
          <w:p w14:paraId="152AFD1F" w14:textId="14AA0E73" w:rsidR="00696427" w:rsidRPr="003F1752" w:rsidRDefault="00696427" w:rsidP="00696427">
            <w:r w:rsidRPr="003F1752">
              <w:t>Kevin Sim (Mobil- Allied Petroleum)</w:t>
            </w:r>
          </w:p>
          <w:p w14:paraId="2B0C0F64" w14:textId="5D7E3824" w:rsidR="00305E68" w:rsidRDefault="00305E68" w:rsidP="00305E68">
            <w:r w:rsidRPr="003F1752">
              <w:t>Mike Crandon (McFall)</w:t>
            </w:r>
          </w:p>
          <w:p w14:paraId="29662CBF" w14:textId="77777777" w:rsidR="00957CEB" w:rsidRPr="003F1752" w:rsidRDefault="00957CEB" w:rsidP="00957CEB">
            <w:r>
              <w:t>Ian McDonald</w:t>
            </w:r>
            <w:r w:rsidRPr="003F1752">
              <w:t xml:space="preserve"> (Linfox)</w:t>
            </w:r>
          </w:p>
          <w:p w14:paraId="32E80F1E" w14:textId="26827F94" w:rsidR="00957CEB" w:rsidRDefault="00957CEB" w:rsidP="00957CEB">
            <w:r>
              <w:t>Nick Leggett</w:t>
            </w:r>
            <w:r w:rsidRPr="003F1752">
              <w:t xml:space="preserve"> (Road Transport Forum NZ) </w:t>
            </w:r>
          </w:p>
          <w:p w14:paraId="767609E2" w14:textId="2983207F" w:rsidR="00957CEB" w:rsidRPr="003F1752" w:rsidRDefault="00957CEB" w:rsidP="00305E68">
            <w:r>
              <w:t>Laura Edmondson (BP)</w:t>
            </w:r>
          </w:p>
          <w:p w14:paraId="2D69F584" w14:textId="77777777" w:rsidR="00696427" w:rsidRDefault="00696427" w:rsidP="001603DC"/>
          <w:p w14:paraId="5454174A" w14:textId="2D3D5A3E" w:rsidR="008365B2" w:rsidRPr="008365B2" w:rsidRDefault="008365B2" w:rsidP="001603DC">
            <w:pPr>
              <w:rPr>
                <w:b/>
              </w:rPr>
            </w:pPr>
            <w:r w:rsidRPr="008365B2">
              <w:rPr>
                <w:b/>
              </w:rPr>
              <w:t>Guests</w:t>
            </w:r>
            <w:r w:rsidR="00696427">
              <w:rPr>
                <w:b/>
              </w:rPr>
              <w:t>:</w:t>
            </w:r>
          </w:p>
          <w:p w14:paraId="4AC66117" w14:textId="77777777" w:rsidR="00276A63" w:rsidRDefault="00276A63" w:rsidP="00BF7A01">
            <w:pPr>
              <w:rPr>
                <w:b/>
              </w:rPr>
            </w:pPr>
          </w:p>
          <w:p w14:paraId="115A40B8" w14:textId="5AD1FFDE" w:rsidR="00F847E7" w:rsidRDefault="00653A3B" w:rsidP="00BF7A01">
            <w:pPr>
              <w:rPr>
                <w:b/>
              </w:rPr>
            </w:pPr>
            <w:r w:rsidRPr="004104FD">
              <w:rPr>
                <w:b/>
              </w:rPr>
              <w:t>Apologies:</w:t>
            </w:r>
          </w:p>
          <w:p w14:paraId="590017DE" w14:textId="776529A1" w:rsidR="007B2536" w:rsidRDefault="007B2536" w:rsidP="00BF7A01">
            <w:pPr>
              <w:rPr>
                <w:bCs/>
              </w:rPr>
            </w:pPr>
            <w:r w:rsidRPr="007B2536">
              <w:rPr>
                <w:bCs/>
              </w:rPr>
              <w:t>Chris Heaton</w:t>
            </w:r>
            <w:r w:rsidR="00957CEB">
              <w:rPr>
                <w:bCs/>
              </w:rPr>
              <w:t xml:space="preserve"> </w:t>
            </w:r>
            <w:r w:rsidRPr="007B2536">
              <w:rPr>
                <w:bCs/>
              </w:rPr>
              <w:t xml:space="preserve">(Linfox) </w:t>
            </w:r>
          </w:p>
          <w:p w14:paraId="7EFAEFA8" w14:textId="44772B6D" w:rsidR="00957CEB" w:rsidRPr="007B2536" w:rsidRDefault="00957CEB" w:rsidP="00BF7A01">
            <w:pPr>
              <w:rPr>
                <w:bCs/>
              </w:rPr>
            </w:pPr>
            <w:r>
              <w:rPr>
                <w:bCs/>
              </w:rPr>
              <w:t>Ron Requena (Linfox)</w:t>
            </w:r>
          </w:p>
          <w:p w14:paraId="4551CA54" w14:textId="67501603" w:rsidR="007B2536" w:rsidRDefault="007B2536" w:rsidP="00BF7A01">
            <w:pPr>
              <w:rPr>
                <w:bCs/>
              </w:rPr>
            </w:pPr>
            <w:r w:rsidRPr="007B2536">
              <w:rPr>
                <w:bCs/>
              </w:rPr>
              <w:t>Hayden Garing (PFH)</w:t>
            </w:r>
          </w:p>
          <w:p w14:paraId="06696010" w14:textId="09F4824C" w:rsidR="00957CEB" w:rsidRDefault="00957CEB" w:rsidP="00BF7A01">
            <w:pPr>
              <w:rPr>
                <w:bCs/>
              </w:rPr>
            </w:pPr>
            <w:r>
              <w:rPr>
                <w:bCs/>
              </w:rPr>
              <w:t>Stephen Owles (PFH)</w:t>
            </w:r>
          </w:p>
          <w:p w14:paraId="11D75C51" w14:textId="77777777" w:rsidR="00305E68" w:rsidRPr="007B2536" w:rsidRDefault="00305E68" w:rsidP="00BF7A01">
            <w:pPr>
              <w:rPr>
                <w:bCs/>
              </w:rPr>
            </w:pPr>
          </w:p>
          <w:p w14:paraId="17F794CB" w14:textId="37B9B391" w:rsidR="003D6A52" w:rsidRDefault="003D6A52" w:rsidP="003D6A52"/>
        </w:tc>
        <w:tc>
          <w:tcPr>
            <w:tcW w:w="2268" w:type="dxa"/>
          </w:tcPr>
          <w:p w14:paraId="1013E938" w14:textId="77777777" w:rsidR="00653A3B" w:rsidRDefault="00653A3B" w:rsidP="00405A07"/>
        </w:tc>
      </w:tr>
      <w:tr w:rsidR="00653A3B" w14:paraId="304D9077" w14:textId="77777777" w:rsidTr="008B3B33">
        <w:tc>
          <w:tcPr>
            <w:tcW w:w="6748" w:type="dxa"/>
          </w:tcPr>
          <w:p w14:paraId="3EBB20E2" w14:textId="1A166AF6" w:rsidR="00653A3B" w:rsidRPr="00B06ADD" w:rsidRDefault="00653A3B" w:rsidP="00B20152">
            <w:pPr>
              <w:jc w:val="both"/>
              <w:rPr>
                <w:b/>
              </w:rPr>
            </w:pPr>
            <w:r w:rsidRPr="00B06ADD">
              <w:rPr>
                <w:b/>
              </w:rPr>
              <w:t>Welcome</w:t>
            </w:r>
          </w:p>
          <w:p w14:paraId="2BE943F0" w14:textId="63DF43E3" w:rsidR="00653A3B" w:rsidRPr="00B06ADD" w:rsidRDefault="00653A3B" w:rsidP="00F7394F">
            <w:pPr>
              <w:jc w:val="both"/>
            </w:pPr>
            <w:r w:rsidRPr="00B06ADD">
              <w:t xml:space="preserve">The meeting </w:t>
            </w:r>
            <w:r w:rsidR="00CB6E06" w:rsidRPr="00B06ADD">
              <w:t>commenced</w:t>
            </w:r>
            <w:r w:rsidR="00F15E0B" w:rsidRPr="00B06ADD">
              <w:t xml:space="preserve"> at </w:t>
            </w:r>
            <w:r w:rsidR="0031510C" w:rsidRPr="00B06ADD">
              <w:t>10</w:t>
            </w:r>
            <w:r w:rsidR="003173FE" w:rsidRPr="00B06ADD">
              <w:t>.</w:t>
            </w:r>
            <w:r w:rsidR="00305E68" w:rsidRPr="00B06ADD">
              <w:t>0</w:t>
            </w:r>
            <w:r w:rsidR="00E859AF" w:rsidRPr="00B06ADD">
              <w:t>0</w:t>
            </w:r>
            <w:r w:rsidRPr="00B06ADD">
              <w:t xml:space="preserve"> am. </w:t>
            </w:r>
          </w:p>
          <w:p w14:paraId="2EE00CC1" w14:textId="77777777" w:rsidR="008820AB" w:rsidRPr="00B06ADD" w:rsidRDefault="008820AB" w:rsidP="00F7394F">
            <w:pPr>
              <w:jc w:val="both"/>
            </w:pPr>
          </w:p>
          <w:p w14:paraId="6456154A" w14:textId="705993DE" w:rsidR="008820AB" w:rsidRPr="00B06ADD" w:rsidRDefault="00676055" w:rsidP="00F7394F">
            <w:pPr>
              <w:jc w:val="both"/>
            </w:pPr>
            <w:r w:rsidRPr="00B06ADD">
              <w:t xml:space="preserve">Introductions were made. Health and safety provisions </w:t>
            </w:r>
            <w:r w:rsidR="00957CEB" w:rsidRPr="00B06ADD">
              <w:t>covered,</w:t>
            </w:r>
            <w:r w:rsidRPr="00B06ADD">
              <w:t xml:space="preserve"> and Agenda reviewed. </w:t>
            </w:r>
            <w:r w:rsidR="006A4726" w:rsidRPr="00B06ADD">
              <w:t>The principles of the C</w:t>
            </w:r>
            <w:r w:rsidR="008820AB" w:rsidRPr="00B06ADD">
              <w:t xml:space="preserve">harter </w:t>
            </w:r>
            <w:r w:rsidR="006A4726" w:rsidRPr="00B06ADD">
              <w:t>were</w:t>
            </w:r>
            <w:r w:rsidR="008820AB" w:rsidRPr="00B06ADD">
              <w:t xml:space="preserve"> acknowledged.</w:t>
            </w:r>
          </w:p>
          <w:p w14:paraId="557B952B" w14:textId="5C455887" w:rsidR="000A152B" w:rsidRPr="00B06ADD" w:rsidRDefault="000A152B" w:rsidP="00F7394F">
            <w:pPr>
              <w:jc w:val="both"/>
            </w:pPr>
          </w:p>
          <w:p w14:paraId="011671EF" w14:textId="679D2CC5" w:rsidR="00653A3B" w:rsidRPr="00B06ADD" w:rsidRDefault="006F5285" w:rsidP="00F7394F">
            <w:pPr>
              <w:jc w:val="both"/>
            </w:pPr>
            <w:r w:rsidRPr="00B06ADD">
              <w:t xml:space="preserve">The Minutes </w:t>
            </w:r>
            <w:r w:rsidR="002A6626" w:rsidRPr="00B06ADD">
              <w:t xml:space="preserve">of the meeting held on </w:t>
            </w:r>
            <w:r w:rsidR="00957CEB" w:rsidRPr="00B06ADD">
              <w:t>14 October</w:t>
            </w:r>
            <w:r w:rsidR="00305E68" w:rsidRPr="00B06ADD">
              <w:t xml:space="preserve"> 2020</w:t>
            </w:r>
            <w:r w:rsidR="000235AD" w:rsidRPr="00B06ADD">
              <w:t xml:space="preserve"> </w:t>
            </w:r>
            <w:r w:rsidR="002A6626" w:rsidRPr="00B06ADD">
              <w:t xml:space="preserve">were reviewed and </w:t>
            </w:r>
            <w:r w:rsidR="00523341" w:rsidRPr="00B06ADD">
              <w:t>action points discussed:</w:t>
            </w:r>
            <w:r w:rsidR="00FB680E" w:rsidRPr="00B06ADD">
              <w:t xml:space="preserve"> </w:t>
            </w:r>
          </w:p>
          <w:p w14:paraId="3672654B" w14:textId="77777777" w:rsidR="00305E68" w:rsidRPr="00B06ADD" w:rsidRDefault="00305E68" w:rsidP="00F7394F">
            <w:pPr>
              <w:jc w:val="both"/>
            </w:pPr>
          </w:p>
          <w:p w14:paraId="1DD9A81C" w14:textId="3BEA463F" w:rsidR="00F0562C" w:rsidRDefault="00AE4660" w:rsidP="00F7394F">
            <w:pPr>
              <w:jc w:val="both"/>
            </w:pPr>
            <w:r w:rsidRPr="00B06ADD">
              <w:t xml:space="preserve">Mike Moloney has </w:t>
            </w:r>
            <w:r w:rsidR="00305E68" w:rsidRPr="00B06ADD">
              <w:t xml:space="preserve">shared the final version of the Police Instructions for Dangerous Goods Inspections. </w:t>
            </w:r>
            <w:r w:rsidR="00B06ADD" w:rsidRPr="00B06ADD">
              <w:t xml:space="preserve"> </w:t>
            </w:r>
            <w:r w:rsidR="007004F0">
              <w:t xml:space="preserve">Was </w:t>
            </w:r>
            <w:r w:rsidR="00B06ADD" w:rsidRPr="00B06ADD">
              <w:t>distributed</w:t>
            </w:r>
            <w:r w:rsidR="007004F0">
              <w:t xml:space="preserve"> in 2020, however</w:t>
            </w:r>
            <w:r w:rsidR="00B06ADD" w:rsidRPr="00B06ADD">
              <w:t xml:space="preserve"> Greg Pert will resend to group for those that missed</w:t>
            </w:r>
            <w:r w:rsidR="007004F0">
              <w:t xml:space="preserve"> it.</w:t>
            </w:r>
          </w:p>
          <w:p w14:paraId="2595BEB9" w14:textId="77777777" w:rsidR="007004F0" w:rsidRPr="00B06ADD" w:rsidRDefault="007004F0" w:rsidP="00F7394F">
            <w:pPr>
              <w:jc w:val="both"/>
            </w:pPr>
          </w:p>
          <w:p w14:paraId="421714C8" w14:textId="01A15AC6" w:rsidR="00F0562C" w:rsidRPr="00B06ADD" w:rsidRDefault="00F0562C" w:rsidP="00F7394F">
            <w:pPr>
              <w:jc w:val="both"/>
              <w:rPr>
                <w:bCs/>
              </w:rPr>
            </w:pPr>
            <w:r w:rsidRPr="00B06ADD">
              <w:rPr>
                <w:bCs/>
              </w:rPr>
              <w:t>Tanker rollover testing. Guidelines/best practice recommendations are to be placed on the RTF website with comment/ introduction provided by the group.</w:t>
            </w:r>
            <w:r w:rsidR="00305E68" w:rsidRPr="00B06ADD">
              <w:rPr>
                <w:bCs/>
              </w:rPr>
              <w:t xml:space="preserve"> </w:t>
            </w:r>
            <w:r w:rsidR="00B06ADD" w:rsidRPr="00B06ADD">
              <w:rPr>
                <w:bCs/>
              </w:rPr>
              <w:t xml:space="preserve"> </w:t>
            </w:r>
          </w:p>
          <w:p w14:paraId="6D55F267" w14:textId="77777777" w:rsidR="00F0562C" w:rsidRPr="00B06ADD" w:rsidRDefault="00F0562C" w:rsidP="00F7394F">
            <w:pPr>
              <w:jc w:val="both"/>
            </w:pPr>
          </w:p>
          <w:p w14:paraId="11896DA7" w14:textId="35D20EA6" w:rsidR="00D70334" w:rsidRPr="00B06ADD" w:rsidRDefault="00D70334" w:rsidP="00F7394F">
            <w:pPr>
              <w:jc w:val="both"/>
            </w:pPr>
          </w:p>
          <w:p w14:paraId="5688CAE6" w14:textId="77777777" w:rsidR="000639B1" w:rsidRPr="00B06ADD" w:rsidRDefault="000639B1" w:rsidP="000639B1">
            <w:pPr>
              <w:jc w:val="center"/>
            </w:pPr>
          </w:p>
          <w:p w14:paraId="68E5CF75" w14:textId="7F0E43E7" w:rsidR="00276A63" w:rsidRPr="00B06ADD" w:rsidRDefault="00F7394F" w:rsidP="00F7394F">
            <w:pPr>
              <w:jc w:val="both"/>
            </w:pPr>
            <w:r w:rsidRPr="00B06ADD">
              <w:t>Truckstop’s</w:t>
            </w:r>
            <w:r w:rsidR="00276A63" w:rsidRPr="00B06ADD">
              <w:t xml:space="preserve"> </w:t>
            </w:r>
            <w:r w:rsidR="00305E68" w:rsidRPr="00B06ADD">
              <w:t xml:space="preserve">Update: The group has agreed with the </w:t>
            </w:r>
            <w:r w:rsidRPr="00B06ADD">
              <w:t>Truckstop’s</w:t>
            </w:r>
            <w:r w:rsidR="00305E68" w:rsidRPr="00B06ADD">
              <w:t xml:space="preserve"> Flammable Material Transport Handover Checklist &amp; has agreed include PITSF &amp; FDISC logo’s to be published to RTF website. </w:t>
            </w:r>
          </w:p>
          <w:p w14:paraId="3BB3EECD" w14:textId="77777777" w:rsidR="00F0562C" w:rsidRPr="00B06ADD" w:rsidRDefault="00F0562C" w:rsidP="00F7394F">
            <w:pPr>
              <w:jc w:val="both"/>
            </w:pPr>
          </w:p>
          <w:p w14:paraId="15D6FBB9" w14:textId="7383AF9C" w:rsidR="000639B1" w:rsidRPr="00B06ADD" w:rsidRDefault="000639B1" w:rsidP="00F7394F">
            <w:pPr>
              <w:jc w:val="both"/>
            </w:pPr>
          </w:p>
          <w:p w14:paraId="1DF4F7D9" w14:textId="7335C982" w:rsidR="000639B1" w:rsidRPr="00B06ADD" w:rsidRDefault="000639B1" w:rsidP="00F7394F">
            <w:pPr>
              <w:jc w:val="both"/>
            </w:pPr>
            <w:r w:rsidRPr="00B06ADD">
              <w:t xml:space="preserve">Mark Allen to review Probe Setting procedure currently on website. Updated procedure to be sent out with SLP certificates. </w:t>
            </w:r>
            <w:r w:rsidR="00B06ADD" w:rsidRPr="00B06ADD">
              <w:t xml:space="preserve"> Completed and procedure is fit for purpose.</w:t>
            </w:r>
          </w:p>
          <w:p w14:paraId="71806A66" w14:textId="77777777" w:rsidR="00B06ADD" w:rsidRPr="00B06ADD" w:rsidRDefault="00B06ADD" w:rsidP="00F7394F">
            <w:pPr>
              <w:jc w:val="both"/>
            </w:pPr>
          </w:p>
          <w:p w14:paraId="3E985A11" w14:textId="75C41EAE" w:rsidR="00FA3291" w:rsidRPr="00B06ADD" w:rsidRDefault="00FA3291" w:rsidP="00F7394F">
            <w:pPr>
              <w:jc w:val="both"/>
            </w:pPr>
          </w:p>
          <w:p w14:paraId="7FD9F79D" w14:textId="513F2670" w:rsidR="00FA3291" w:rsidRPr="00B06ADD" w:rsidRDefault="00FA3291" w:rsidP="00F7394F">
            <w:pPr>
              <w:jc w:val="both"/>
            </w:pPr>
            <w:r w:rsidRPr="00B06ADD">
              <w:t>Update current group members on website</w:t>
            </w:r>
            <w:r w:rsidR="00B06ADD">
              <w:t xml:space="preserve"> has been completed.  Check with companies if invite distribution list is still valid or if we need to add/remove attendees.</w:t>
            </w:r>
          </w:p>
          <w:p w14:paraId="793DDF01" w14:textId="23985453" w:rsidR="00AE4660" w:rsidRPr="00B06ADD" w:rsidRDefault="00AE4660" w:rsidP="00D70334">
            <w:pPr>
              <w:jc w:val="both"/>
            </w:pPr>
          </w:p>
        </w:tc>
        <w:tc>
          <w:tcPr>
            <w:tcW w:w="2268" w:type="dxa"/>
          </w:tcPr>
          <w:p w14:paraId="55A128D1" w14:textId="77777777" w:rsidR="003574BE" w:rsidRPr="00B06ADD" w:rsidRDefault="003574BE" w:rsidP="003574BE">
            <w:pPr>
              <w:jc w:val="both"/>
            </w:pPr>
          </w:p>
          <w:p w14:paraId="22A7B2B8" w14:textId="77777777" w:rsidR="00F15E0B" w:rsidRPr="00B06ADD" w:rsidRDefault="00F15E0B" w:rsidP="00F15E0B">
            <w:pPr>
              <w:jc w:val="both"/>
            </w:pPr>
          </w:p>
          <w:p w14:paraId="167FF9B0" w14:textId="77777777" w:rsidR="00AD4DA1" w:rsidRPr="00B06ADD" w:rsidRDefault="00AD4DA1" w:rsidP="00F15E0B">
            <w:pPr>
              <w:jc w:val="both"/>
            </w:pPr>
          </w:p>
          <w:p w14:paraId="469A9B4C" w14:textId="60945153" w:rsidR="00AD4DA1" w:rsidRPr="00B06ADD" w:rsidRDefault="00957CEB" w:rsidP="0015213A">
            <w:r w:rsidRPr="00B06ADD">
              <w:t xml:space="preserve">Gareth </w:t>
            </w:r>
          </w:p>
          <w:p w14:paraId="762CB631" w14:textId="77777777" w:rsidR="00FB680E" w:rsidRPr="00B06ADD" w:rsidRDefault="00FB680E" w:rsidP="0015213A"/>
          <w:p w14:paraId="2C565AF5" w14:textId="77777777" w:rsidR="00FB680E" w:rsidRPr="00B06ADD" w:rsidRDefault="00FB680E" w:rsidP="0015213A"/>
          <w:p w14:paraId="44D10C34" w14:textId="1716C13C" w:rsidR="00FB680E" w:rsidRPr="00B06ADD" w:rsidRDefault="00957CEB" w:rsidP="0015213A">
            <w:r w:rsidRPr="00B06ADD">
              <w:t>Gareth</w:t>
            </w:r>
          </w:p>
          <w:p w14:paraId="745EBA7C" w14:textId="71251111" w:rsidR="007E5266" w:rsidRPr="00B06ADD" w:rsidRDefault="007E5266" w:rsidP="0015213A"/>
          <w:p w14:paraId="72B1CF75" w14:textId="77777777" w:rsidR="003E57F9" w:rsidRPr="00B06ADD" w:rsidRDefault="003E57F9" w:rsidP="0015213A"/>
          <w:p w14:paraId="0A5D8D99" w14:textId="4E6C3F96" w:rsidR="007E5266" w:rsidRPr="00B06ADD" w:rsidRDefault="00B06ADD" w:rsidP="0015213A">
            <w:r w:rsidRPr="00B06ADD">
              <w:t>Greg P</w:t>
            </w:r>
          </w:p>
          <w:p w14:paraId="34447B97" w14:textId="078EB00F" w:rsidR="0077702D" w:rsidRPr="00B06ADD" w:rsidRDefault="0077702D" w:rsidP="00F15E0B">
            <w:pPr>
              <w:jc w:val="both"/>
            </w:pPr>
          </w:p>
          <w:p w14:paraId="0804D990" w14:textId="3D1B1FF0" w:rsidR="00F0562C" w:rsidRPr="00B06ADD" w:rsidRDefault="00F0562C" w:rsidP="00F15E0B">
            <w:pPr>
              <w:jc w:val="both"/>
            </w:pPr>
          </w:p>
          <w:p w14:paraId="376B4113" w14:textId="77777777" w:rsidR="00B06ADD" w:rsidRPr="00B06ADD" w:rsidRDefault="00B06ADD" w:rsidP="00F15E0B">
            <w:pPr>
              <w:jc w:val="both"/>
            </w:pPr>
          </w:p>
          <w:p w14:paraId="7335C40F" w14:textId="71183C2A" w:rsidR="00F0562C" w:rsidRPr="00B06ADD" w:rsidRDefault="00B06ADD" w:rsidP="00F15E0B">
            <w:pPr>
              <w:jc w:val="both"/>
            </w:pPr>
            <w:r w:rsidRPr="00B06ADD">
              <w:t>Completed</w:t>
            </w:r>
          </w:p>
          <w:p w14:paraId="39F3BDFA" w14:textId="56CBF9CF" w:rsidR="00F0562C" w:rsidRPr="00B06ADD" w:rsidRDefault="00F0562C" w:rsidP="00F15E0B">
            <w:pPr>
              <w:jc w:val="both"/>
            </w:pPr>
          </w:p>
          <w:p w14:paraId="6A3B6545" w14:textId="03A8F790" w:rsidR="00F0562C" w:rsidRPr="00B06ADD" w:rsidRDefault="00F0562C" w:rsidP="00F15E0B">
            <w:pPr>
              <w:jc w:val="both"/>
            </w:pPr>
          </w:p>
          <w:p w14:paraId="042E0D95" w14:textId="75CBBE6E" w:rsidR="00F0562C" w:rsidRPr="00B06ADD" w:rsidRDefault="00F0562C" w:rsidP="00F15E0B">
            <w:pPr>
              <w:jc w:val="both"/>
            </w:pPr>
          </w:p>
          <w:p w14:paraId="2FA229EA" w14:textId="77777777" w:rsidR="003F1752" w:rsidRPr="00B06ADD" w:rsidRDefault="003F1752" w:rsidP="00F15E0B">
            <w:pPr>
              <w:jc w:val="both"/>
            </w:pPr>
          </w:p>
          <w:p w14:paraId="49D23894" w14:textId="77777777" w:rsidR="003F1752" w:rsidRPr="00B06ADD" w:rsidRDefault="003F1752" w:rsidP="00F15E0B">
            <w:pPr>
              <w:jc w:val="both"/>
            </w:pPr>
          </w:p>
          <w:p w14:paraId="75BFE09D" w14:textId="1D300AEA" w:rsidR="00F0562C" w:rsidRPr="00B06ADD" w:rsidRDefault="00B06ADD" w:rsidP="00F15E0B">
            <w:pPr>
              <w:jc w:val="both"/>
            </w:pPr>
            <w:r w:rsidRPr="00B06ADD">
              <w:t xml:space="preserve">Completed </w:t>
            </w:r>
          </w:p>
          <w:p w14:paraId="5354CDC6" w14:textId="77777777" w:rsidR="009A03F7" w:rsidRPr="00B06ADD" w:rsidRDefault="009A03F7" w:rsidP="000148AA">
            <w:pPr>
              <w:jc w:val="both"/>
            </w:pPr>
          </w:p>
          <w:p w14:paraId="44A7A47B" w14:textId="77777777" w:rsidR="008D5D4D" w:rsidRPr="00B06ADD" w:rsidRDefault="008D5D4D" w:rsidP="000148AA">
            <w:pPr>
              <w:jc w:val="both"/>
            </w:pPr>
          </w:p>
          <w:p w14:paraId="2F4F7137" w14:textId="77777777" w:rsidR="00F0562C" w:rsidRPr="00B06ADD" w:rsidRDefault="00F0562C" w:rsidP="000148AA">
            <w:pPr>
              <w:jc w:val="both"/>
            </w:pPr>
          </w:p>
          <w:p w14:paraId="2B3ADE6C" w14:textId="77777777" w:rsidR="00F0562C" w:rsidRPr="00B06ADD" w:rsidRDefault="00F0562C" w:rsidP="000148AA">
            <w:pPr>
              <w:jc w:val="both"/>
            </w:pPr>
          </w:p>
          <w:p w14:paraId="446466CB" w14:textId="54E05269" w:rsidR="000639B1" w:rsidRPr="00B06ADD" w:rsidRDefault="00B06ADD" w:rsidP="000148AA">
            <w:pPr>
              <w:jc w:val="both"/>
            </w:pPr>
            <w:r w:rsidRPr="00B06ADD">
              <w:t>Completed</w:t>
            </w:r>
          </w:p>
          <w:p w14:paraId="5412DDF4" w14:textId="77777777" w:rsidR="00FA3291" w:rsidRPr="00B06ADD" w:rsidRDefault="00FA3291" w:rsidP="000148AA">
            <w:pPr>
              <w:jc w:val="both"/>
            </w:pPr>
          </w:p>
          <w:p w14:paraId="26E96EC9" w14:textId="77777777" w:rsidR="00FA3291" w:rsidRPr="00B06ADD" w:rsidRDefault="00FA3291" w:rsidP="000148AA">
            <w:pPr>
              <w:jc w:val="both"/>
            </w:pPr>
          </w:p>
          <w:p w14:paraId="05351A1A" w14:textId="77777777" w:rsidR="00FA3291" w:rsidRPr="00B06ADD" w:rsidRDefault="00FA3291" w:rsidP="000148AA">
            <w:pPr>
              <w:jc w:val="both"/>
            </w:pPr>
          </w:p>
          <w:p w14:paraId="1A5132E3" w14:textId="77777777" w:rsidR="00FA3291" w:rsidRPr="00B06ADD" w:rsidRDefault="00FA3291" w:rsidP="000148AA">
            <w:pPr>
              <w:jc w:val="both"/>
            </w:pPr>
          </w:p>
          <w:p w14:paraId="73DE4016" w14:textId="23722EB5" w:rsidR="00FA3291" w:rsidRPr="00B06ADD" w:rsidRDefault="00B06ADD" w:rsidP="000148AA">
            <w:pPr>
              <w:jc w:val="both"/>
            </w:pPr>
            <w:r>
              <w:t>All</w:t>
            </w:r>
            <w:r w:rsidRPr="00B06ADD">
              <w:t xml:space="preserve"> </w:t>
            </w:r>
            <w:r>
              <w:t>to get back to Gar</w:t>
            </w:r>
            <w:r w:rsidR="00C632E6">
              <w:t>e</w:t>
            </w:r>
            <w:r>
              <w:t xml:space="preserve">th </w:t>
            </w:r>
          </w:p>
        </w:tc>
      </w:tr>
      <w:tr w:rsidR="00F12242" w14:paraId="5318BE48" w14:textId="77777777" w:rsidTr="008B3B33">
        <w:tc>
          <w:tcPr>
            <w:tcW w:w="6748" w:type="dxa"/>
          </w:tcPr>
          <w:p w14:paraId="05ABB2B3" w14:textId="77777777" w:rsidR="00074833" w:rsidRPr="00B06ADD" w:rsidRDefault="00074833" w:rsidP="00074833">
            <w:pPr>
              <w:rPr>
                <w:b/>
              </w:rPr>
            </w:pPr>
            <w:r w:rsidRPr="00B06ADD">
              <w:rPr>
                <w:b/>
              </w:rPr>
              <w:lastRenderedPageBreak/>
              <w:t>Item 1</w:t>
            </w:r>
          </w:p>
          <w:p w14:paraId="761966F5" w14:textId="77777777" w:rsidR="00D70334" w:rsidRPr="00B06ADD" w:rsidRDefault="00D70334" w:rsidP="00D70334"/>
          <w:p w14:paraId="4671574E" w14:textId="77777777" w:rsidR="00B06ADD" w:rsidRPr="00B06ADD" w:rsidRDefault="00B06ADD" w:rsidP="00B06ADD">
            <w:pPr>
              <w:rPr>
                <w:b/>
              </w:rPr>
            </w:pPr>
            <w:r w:rsidRPr="00B06ADD">
              <w:rPr>
                <w:b/>
              </w:rPr>
              <w:t>Australian Safe Load Program</w:t>
            </w:r>
          </w:p>
          <w:p w14:paraId="1D893757" w14:textId="53255451" w:rsidR="000639B1" w:rsidRPr="00B06ADD" w:rsidRDefault="000639B1" w:rsidP="00D70334"/>
          <w:p w14:paraId="5A207C8B" w14:textId="63BD35C4" w:rsidR="00B06ADD" w:rsidRDefault="00B06ADD" w:rsidP="00D70334">
            <w:r w:rsidRPr="00B06ADD">
              <w:t>Planning days are scheduled for 18</w:t>
            </w:r>
            <w:r w:rsidRPr="00B06ADD">
              <w:rPr>
                <w:vertAlign w:val="superscript"/>
              </w:rPr>
              <w:t>th</w:t>
            </w:r>
            <w:r w:rsidRPr="00B06ADD">
              <w:t xml:space="preserve"> and 19</w:t>
            </w:r>
            <w:r w:rsidRPr="00B06ADD">
              <w:rPr>
                <w:vertAlign w:val="superscript"/>
              </w:rPr>
              <w:t>th</w:t>
            </w:r>
            <w:r w:rsidRPr="00B06ADD">
              <w:t xml:space="preserve"> February 2021.  NZ group to request consideration in the planning days on whether addition of NZ both Driver Training/Induction and Fleet/Service Providers checks can </w:t>
            </w:r>
            <w:r w:rsidR="007004F0">
              <w:t>get underway</w:t>
            </w:r>
            <w:r>
              <w:t xml:space="preserve"> in 2021.</w:t>
            </w:r>
            <w:r w:rsidRPr="00B06ADD">
              <w:t xml:space="preserve">  NZ </w:t>
            </w:r>
            <w:r w:rsidR="007004F0">
              <w:t xml:space="preserve">Hauliers </w:t>
            </w:r>
            <w:r w:rsidRPr="00B06ADD">
              <w:t>to provide indicative driver and fleet numbers for cost analysis.</w:t>
            </w:r>
            <w:r>
              <w:t xml:space="preserve"> </w:t>
            </w:r>
          </w:p>
          <w:p w14:paraId="6CC4964A" w14:textId="4CC678E9" w:rsidR="007004F0" w:rsidRDefault="007004F0" w:rsidP="00D70334"/>
          <w:p w14:paraId="75196F5D" w14:textId="4742B1BA" w:rsidR="007004F0" w:rsidRPr="00B06ADD" w:rsidRDefault="007004F0" w:rsidP="00D70334">
            <w:r>
              <w:t>Consideration on who would govern this programme in New Zealand and as part of the development to ensure NZ ways of working/legislation is adequately covered.</w:t>
            </w:r>
          </w:p>
          <w:p w14:paraId="752B4A6B" w14:textId="52575CE0" w:rsidR="00042EA3" w:rsidRPr="00A8744E" w:rsidRDefault="00042EA3" w:rsidP="00B06ADD">
            <w:pPr>
              <w:jc w:val="both"/>
              <w:rPr>
                <w:highlight w:val="yellow"/>
              </w:rPr>
            </w:pPr>
          </w:p>
        </w:tc>
        <w:tc>
          <w:tcPr>
            <w:tcW w:w="2268" w:type="dxa"/>
          </w:tcPr>
          <w:p w14:paraId="18D2E010" w14:textId="77777777" w:rsidR="00BD0327" w:rsidRPr="00A8744E" w:rsidRDefault="00BD0327" w:rsidP="003574BE">
            <w:pPr>
              <w:jc w:val="both"/>
              <w:rPr>
                <w:highlight w:val="yellow"/>
              </w:rPr>
            </w:pPr>
          </w:p>
          <w:p w14:paraId="6CEA7C95" w14:textId="697D2644" w:rsidR="00E018BB" w:rsidRPr="00A8744E" w:rsidRDefault="00E018BB" w:rsidP="003574BE">
            <w:pPr>
              <w:jc w:val="both"/>
              <w:rPr>
                <w:highlight w:val="yellow"/>
              </w:rPr>
            </w:pPr>
          </w:p>
          <w:p w14:paraId="0131F0C0" w14:textId="73ED9465" w:rsidR="00F0562C" w:rsidRPr="00A8744E" w:rsidRDefault="00F0562C" w:rsidP="003574BE">
            <w:pPr>
              <w:jc w:val="both"/>
              <w:rPr>
                <w:highlight w:val="yellow"/>
              </w:rPr>
            </w:pPr>
          </w:p>
          <w:p w14:paraId="7C62CBB1" w14:textId="752D4B58" w:rsidR="00F0562C" w:rsidRPr="00A8744E" w:rsidRDefault="00F0562C" w:rsidP="003574BE">
            <w:pPr>
              <w:jc w:val="both"/>
              <w:rPr>
                <w:highlight w:val="yellow"/>
              </w:rPr>
            </w:pPr>
          </w:p>
          <w:p w14:paraId="433918B2" w14:textId="1FBD74C8" w:rsidR="00F0562C" w:rsidRPr="00B06ADD" w:rsidRDefault="00B06ADD" w:rsidP="003574BE">
            <w:pPr>
              <w:jc w:val="both"/>
            </w:pPr>
            <w:r w:rsidRPr="00B06ADD">
              <w:t>Jess</w:t>
            </w:r>
            <w:r w:rsidR="007004F0">
              <w:t>/Laura</w:t>
            </w:r>
          </w:p>
          <w:p w14:paraId="21B90C47" w14:textId="5965F5A9" w:rsidR="00E018BB" w:rsidRPr="00A8744E" w:rsidRDefault="00E018BB" w:rsidP="006200C2">
            <w:pPr>
              <w:jc w:val="both"/>
              <w:rPr>
                <w:highlight w:val="yellow"/>
              </w:rPr>
            </w:pPr>
          </w:p>
        </w:tc>
      </w:tr>
      <w:tr w:rsidR="00D70334" w14:paraId="562ECD3B" w14:textId="77777777" w:rsidTr="008B3B33">
        <w:tc>
          <w:tcPr>
            <w:tcW w:w="6748" w:type="dxa"/>
          </w:tcPr>
          <w:p w14:paraId="6FE43AA3" w14:textId="5717D3EE" w:rsidR="003C2FAD" w:rsidRPr="004444F3" w:rsidRDefault="003C2FAD" w:rsidP="003C2FAD">
            <w:pPr>
              <w:rPr>
                <w:b/>
              </w:rPr>
            </w:pPr>
            <w:r w:rsidRPr="004444F3">
              <w:rPr>
                <w:b/>
              </w:rPr>
              <w:t>Item 2</w:t>
            </w:r>
          </w:p>
          <w:p w14:paraId="60946FF0" w14:textId="77777777" w:rsidR="000639B1" w:rsidRPr="004444F3" w:rsidRDefault="000639B1" w:rsidP="003C2FAD">
            <w:pPr>
              <w:rPr>
                <w:bCs/>
              </w:rPr>
            </w:pPr>
          </w:p>
          <w:p w14:paraId="482A35A4" w14:textId="174D8FEB" w:rsidR="003C2FAD" w:rsidRPr="004444F3" w:rsidRDefault="00B06ADD" w:rsidP="003C2FAD">
            <w:pPr>
              <w:rPr>
                <w:b/>
              </w:rPr>
            </w:pPr>
            <w:r w:rsidRPr="004444F3">
              <w:rPr>
                <w:b/>
              </w:rPr>
              <w:t>PITSF Letter to Terminals</w:t>
            </w:r>
          </w:p>
          <w:p w14:paraId="33F91ADC" w14:textId="77777777" w:rsidR="000639B1" w:rsidRPr="004444F3" w:rsidRDefault="000639B1" w:rsidP="003C2FAD">
            <w:pPr>
              <w:rPr>
                <w:bCs/>
              </w:rPr>
            </w:pPr>
          </w:p>
          <w:p w14:paraId="51061FDF" w14:textId="3CB5ED6C" w:rsidR="003C2FAD" w:rsidRPr="004444F3" w:rsidRDefault="00B06ADD" w:rsidP="00F7394F">
            <w:pPr>
              <w:jc w:val="both"/>
              <w:rPr>
                <w:bCs/>
              </w:rPr>
            </w:pPr>
            <w:r w:rsidRPr="004444F3">
              <w:rPr>
                <w:bCs/>
              </w:rPr>
              <w:t xml:space="preserve">General feedback received from the Terminal Operators was positive.  Justin Johnson to create a draft charter as a starting point to feedback to the Terminal </w:t>
            </w:r>
            <w:r w:rsidR="004444F3" w:rsidRPr="004444F3">
              <w:rPr>
                <w:bCs/>
              </w:rPr>
              <w:t>and PITSF group.</w:t>
            </w:r>
          </w:p>
          <w:p w14:paraId="67FB7D2C" w14:textId="2A621FAD" w:rsidR="007F2A99" w:rsidRPr="004444F3" w:rsidRDefault="007F2A99" w:rsidP="00F7394F">
            <w:pPr>
              <w:jc w:val="both"/>
              <w:rPr>
                <w:bCs/>
              </w:rPr>
            </w:pPr>
          </w:p>
          <w:p w14:paraId="116608B7" w14:textId="3289D05F" w:rsidR="004444F3" w:rsidRPr="004444F3" w:rsidRDefault="004444F3" w:rsidP="00F7394F">
            <w:pPr>
              <w:jc w:val="both"/>
              <w:rPr>
                <w:bCs/>
              </w:rPr>
            </w:pPr>
            <w:r w:rsidRPr="004444F3">
              <w:rPr>
                <w:bCs/>
              </w:rPr>
              <w:t>Discussion on potentially how the two groups could interact to ensure safe operations and safety sharing across the industry.</w:t>
            </w:r>
          </w:p>
          <w:p w14:paraId="6DD07DC8" w14:textId="165E37D8" w:rsidR="007F2A99" w:rsidRPr="00A8744E" w:rsidRDefault="007F2A99" w:rsidP="00F7394F">
            <w:pPr>
              <w:jc w:val="both"/>
              <w:rPr>
                <w:bCs/>
                <w:highlight w:val="yellow"/>
              </w:rPr>
            </w:pPr>
          </w:p>
          <w:p w14:paraId="4F9D980A" w14:textId="49A013EB" w:rsidR="000639B1" w:rsidRPr="00A8744E" w:rsidRDefault="000639B1" w:rsidP="007F2A99">
            <w:pPr>
              <w:rPr>
                <w:b/>
                <w:highlight w:val="yellow"/>
              </w:rPr>
            </w:pPr>
          </w:p>
        </w:tc>
        <w:tc>
          <w:tcPr>
            <w:tcW w:w="2268" w:type="dxa"/>
          </w:tcPr>
          <w:p w14:paraId="0CF7C1DE" w14:textId="77777777" w:rsidR="00D70334" w:rsidRPr="00A8744E" w:rsidRDefault="00D70334" w:rsidP="003574BE">
            <w:pPr>
              <w:jc w:val="both"/>
              <w:rPr>
                <w:highlight w:val="yellow"/>
              </w:rPr>
            </w:pPr>
          </w:p>
          <w:p w14:paraId="6680FF4E" w14:textId="77777777" w:rsidR="003C2FAD" w:rsidRPr="00A8744E" w:rsidRDefault="003C2FAD" w:rsidP="003574BE">
            <w:pPr>
              <w:jc w:val="both"/>
              <w:rPr>
                <w:highlight w:val="yellow"/>
              </w:rPr>
            </w:pPr>
          </w:p>
          <w:p w14:paraId="108D72EB" w14:textId="77777777" w:rsidR="003C2FAD" w:rsidRPr="00A8744E" w:rsidRDefault="003C2FAD" w:rsidP="003574BE">
            <w:pPr>
              <w:jc w:val="both"/>
              <w:rPr>
                <w:highlight w:val="yellow"/>
              </w:rPr>
            </w:pPr>
          </w:p>
          <w:p w14:paraId="12675C0F" w14:textId="77777777" w:rsidR="003C2FAD" w:rsidRPr="00A8744E" w:rsidRDefault="003C2FAD" w:rsidP="003574BE">
            <w:pPr>
              <w:jc w:val="both"/>
              <w:rPr>
                <w:highlight w:val="yellow"/>
              </w:rPr>
            </w:pPr>
          </w:p>
          <w:p w14:paraId="0F35A969" w14:textId="77777777" w:rsidR="003C2FAD" w:rsidRPr="00A8744E" w:rsidRDefault="003C2FAD" w:rsidP="003574BE">
            <w:pPr>
              <w:jc w:val="both"/>
              <w:rPr>
                <w:highlight w:val="yellow"/>
              </w:rPr>
            </w:pPr>
          </w:p>
          <w:p w14:paraId="637859A6" w14:textId="77777777" w:rsidR="000639B1" w:rsidRPr="00A8744E" w:rsidRDefault="000639B1" w:rsidP="003574BE">
            <w:pPr>
              <w:jc w:val="both"/>
              <w:rPr>
                <w:highlight w:val="yellow"/>
              </w:rPr>
            </w:pPr>
          </w:p>
          <w:p w14:paraId="6BDE9CB5" w14:textId="30DACB0C" w:rsidR="000639B1" w:rsidRPr="00A8744E" w:rsidRDefault="00B06ADD" w:rsidP="003574BE">
            <w:pPr>
              <w:jc w:val="both"/>
              <w:rPr>
                <w:highlight w:val="yellow"/>
              </w:rPr>
            </w:pPr>
            <w:r w:rsidRPr="004444F3">
              <w:t>Justin J</w:t>
            </w:r>
          </w:p>
        </w:tc>
      </w:tr>
      <w:tr w:rsidR="000639B1" w14:paraId="656EFAC2" w14:textId="77777777" w:rsidTr="008B3B33">
        <w:tc>
          <w:tcPr>
            <w:tcW w:w="6748" w:type="dxa"/>
          </w:tcPr>
          <w:p w14:paraId="6E536CC4" w14:textId="5D5EACEC" w:rsidR="000639B1" w:rsidRPr="007311D6" w:rsidRDefault="000639B1" w:rsidP="003C2FAD">
            <w:pPr>
              <w:rPr>
                <w:b/>
              </w:rPr>
            </w:pPr>
            <w:r w:rsidRPr="007311D6">
              <w:rPr>
                <w:b/>
              </w:rPr>
              <w:t>Item 3</w:t>
            </w:r>
            <w:r w:rsidR="00247C05" w:rsidRPr="007311D6">
              <w:rPr>
                <w:b/>
              </w:rPr>
              <w:t xml:space="preserve"> </w:t>
            </w:r>
            <w:r w:rsidR="004444F3" w:rsidRPr="007311D6">
              <w:rPr>
                <w:b/>
              </w:rPr>
              <w:t>Demonstration on Setting Probe Heights</w:t>
            </w:r>
            <w:r w:rsidR="007311D6" w:rsidRPr="007311D6">
              <w:rPr>
                <w:b/>
              </w:rPr>
              <w:t>/Exhaust Systems COP</w:t>
            </w:r>
          </w:p>
          <w:p w14:paraId="0DEAD5B3" w14:textId="3F5FA0A8" w:rsidR="000639B1" w:rsidRPr="007311D6" w:rsidRDefault="000639B1" w:rsidP="003C2FAD">
            <w:pPr>
              <w:rPr>
                <w:bCs/>
              </w:rPr>
            </w:pPr>
          </w:p>
          <w:p w14:paraId="1948DDF7" w14:textId="3AD5F5AD" w:rsidR="000F58A3" w:rsidRPr="007311D6" w:rsidRDefault="002F5D58" w:rsidP="00F7394F">
            <w:pPr>
              <w:jc w:val="both"/>
              <w:rPr>
                <w:bCs/>
              </w:rPr>
            </w:pPr>
            <w:r w:rsidRPr="007311D6">
              <w:rPr>
                <w:bCs/>
              </w:rPr>
              <w:t>Demonstration of two different probes was provided to the group and explanation on various methods to test the probe height.</w:t>
            </w:r>
          </w:p>
          <w:p w14:paraId="3D3EC4EA" w14:textId="340FF881" w:rsidR="002F5D58" w:rsidRPr="007311D6" w:rsidRDefault="002F5D58" w:rsidP="00F7394F">
            <w:pPr>
              <w:jc w:val="both"/>
              <w:rPr>
                <w:bCs/>
              </w:rPr>
            </w:pPr>
            <w:r w:rsidRPr="007311D6">
              <w:rPr>
                <w:bCs/>
              </w:rPr>
              <w:t xml:space="preserve">Agreed that the service provider guidelines available were concise, </w:t>
            </w:r>
            <w:r w:rsidR="007004F0" w:rsidRPr="007311D6">
              <w:rPr>
                <w:bCs/>
              </w:rPr>
              <w:t>clear,</w:t>
            </w:r>
            <w:r w:rsidRPr="007311D6">
              <w:rPr>
                <w:bCs/>
              </w:rPr>
              <w:t xml:space="preserve"> and available on the PITSF webpage.  Discussion around the fact they are not always straight forward to get correct, </w:t>
            </w:r>
            <w:r w:rsidR="007311D6" w:rsidRPr="007311D6">
              <w:rPr>
                <w:bCs/>
              </w:rPr>
              <w:t>failure normally around them slipping down.</w:t>
            </w:r>
          </w:p>
          <w:p w14:paraId="12908668" w14:textId="4D81106F" w:rsidR="007311D6" w:rsidRPr="007311D6" w:rsidRDefault="007311D6" w:rsidP="00F7394F">
            <w:pPr>
              <w:jc w:val="both"/>
              <w:rPr>
                <w:bCs/>
              </w:rPr>
            </w:pPr>
          </w:p>
          <w:p w14:paraId="4ADB0980" w14:textId="77777777" w:rsidR="000639B1" w:rsidRPr="007311D6" w:rsidRDefault="007311D6" w:rsidP="007311D6">
            <w:pPr>
              <w:jc w:val="both"/>
              <w:rPr>
                <w:bCs/>
              </w:rPr>
            </w:pPr>
            <w:r w:rsidRPr="007311D6">
              <w:rPr>
                <w:bCs/>
              </w:rPr>
              <w:t xml:space="preserve">Website will need to be updated with COP documents, Mark Allen to provide.  Tankers built prior to 2019 need to comply with COP and those built afterwards with </w:t>
            </w:r>
            <w:proofErr w:type="spellStart"/>
            <w:r w:rsidRPr="007311D6">
              <w:rPr>
                <w:bCs/>
              </w:rPr>
              <w:t>Worksafe</w:t>
            </w:r>
            <w:proofErr w:type="spellEnd"/>
            <w:r w:rsidRPr="007311D6">
              <w:rPr>
                <w:bCs/>
              </w:rPr>
              <w:t xml:space="preserve"> Document.</w:t>
            </w:r>
          </w:p>
          <w:p w14:paraId="6B2401E9" w14:textId="77777777" w:rsidR="007311D6" w:rsidRPr="007311D6" w:rsidRDefault="007311D6" w:rsidP="007311D6">
            <w:pPr>
              <w:jc w:val="both"/>
              <w:rPr>
                <w:bCs/>
              </w:rPr>
            </w:pPr>
          </w:p>
          <w:p w14:paraId="5F3D95E5" w14:textId="22D5EF84" w:rsidR="007311D6" w:rsidRPr="007311D6" w:rsidRDefault="007311D6" w:rsidP="007311D6">
            <w:pPr>
              <w:jc w:val="both"/>
              <w:rPr>
                <w:bCs/>
              </w:rPr>
            </w:pPr>
          </w:p>
        </w:tc>
        <w:tc>
          <w:tcPr>
            <w:tcW w:w="2268" w:type="dxa"/>
          </w:tcPr>
          <w:p w14:paraId="321ADD0C" w14:textId="77777777" w:rsidR="000639B1" w:rsidRPr="007311D6" w:rsidRDefault="000639B1" w:rsidP="003574BE">
            <w:pPr>
              <w:jc w:val="both"/>
            </w:pPr>
          </w:p>
          <w:p w14:paraId="27F9DF6B" w14:textId="77777777" w:rsidR="000F58A3" w:rsidRPr="007311D6" w:rsidRDefault="000F58A3" w:rsidP="003574BE">
            <w:pPr>
              <w:jc w:val="both"/>
            </w:pPr>
          </w:p>
          <w:p w14:paraId="779B9B9C" w14:textId="77777777" w:rsidR="000F58A3" w:rsidRPr="007311D6" w:rsidRDefault="000F58A3" w:rsidP="003574BE">
            <w:pPr>
              <w:jc w:val="both"/>
            </w:pPr>
          </w:p>
          <w:p w14:paraId="4E6EC878" w14:textId="77777777" w:rsidR="000F58A3" w:rsidRPr="007311D6" w:rsidRDefault="000F58A3" w:rsidP="003574BE">
            <w:pPr>
              <w:jc w:val="both"/>
            </w:pPr>
          </w:p>
          <w:p w14:paraId="1DE59045" w14:textId="77777777" w:rsidR="000F58A3" w:rsidRPr="007311D6" w:rsidRDefault="000F58A3" w:rsidP="003574BE">
            <w:pPr>
              <w:jc w:val="both"/>
            </w:pPr>
          </w:p>
          <w:p w14:paraId="4281B88E" w14:textId="77777777" w:rsidR="000F58A3" w:rsidRPr="007311D6" w:rsidRDefault="000F58A3" w:rsidP="003574BE">
            <w:pPr>
              <w:jc w:val="both"/>
            </w:pPr>
          </w:p>
          <w:p w14:paraId="4DE3A7B5" w14:textId="77777777" w:rsidR="000F58A3" w:rsidRPr="007311D6" w:rsidRDefault="000F58A3" w:rsidP="003574BE">
            <w:pPr>
              <w:jc w:val="both"/>
            </w:pPr>
          </w:p>
          <w:p w14:paraId="251EAD1F" w14:textId="77777777" w:rsidR="000F58A3" w:rsidRPr="007311D6" w:rsidRDefault="000F58A3" w:rsidP="003574BE">
            <w:pPr>
              <w:jc w:val="both"/>
            </w:pPr>
          </w:p>
          <w:p w14:paraId="6670D67D" w14:textId="77777777" w:rsidR="000F58A3" w:rsidRPr="007311D6" w:rsidRDefault="000F58A3" w:rsidP="003574BE">
            <w:pPr>
              <w:jc w:val="both"/>
            </w:pPr>
          </w:p>
          <w:p w14:paraId="77ACD3F5" w14:textId="68CD2DAF" w:rsidR="000F58A3" w:rsidRPr="007311D6" w:rsidRDefault="004444F3" w:rsidP="003574BE">
            <w:pPr>
              <w:jc w:val="both"/>
            </w:pPr>
            <w:r w:rsidRPr="007311D6">
              <w:t>Mark A</w:t>
            </w:r>
          </w:p>
          <w:p w14:paraId="5A5F16A3" w14:textId="77777777" w:rsidR="000F58A3" w:rsidRPr="007311D6" w:rsidRDefault="000F58A3" w:rsidP="003574BE">
            <w:pPr>
              <w:jc w:val="both"/>
            </w:pPr>
          </w:p>
          <w:p w14:paraId="58AC4F67" w14:textId="225E800C" w:rsidR="000F58A3" w:rsidRPr="007311D6" w:rsidRDefault="000F58A3" w:rsidP="003574BE">
            <w:pPr>
              <w:jc w:val="both"/>
            </w:pPr>
          </w:p>
        </w:tc>
      </w:tr>
      <w:tr w:rsidR="000639B1" w14:paraId="52DDE356" w14:textId="77777777" w:rsidTr="008B3B33">
        <w:tc>
          <w:tcPr>
            <w:tcW w:w="6748" w:type="dxa"/>
          </w:tcPr>
          <w:p w14:paraId="673669B1" w14:textId="77777777" w:rsidR="000639B1" w:rsidRDefault="000639B1" w:rsidP="003C2FAD">
            <w:pPr>
              <w:rPr>
                <w:b/>
              </w:rPr>
            </w:pPr>
            <w:r>
              <w:rPr>
                <w:b/>
              </w:rPr>
              <w:t>Item 4</w:t>
            </w:r>
          </w:p>
          <w:p w14:paraId="76EE4C48" w14:textId="77777777" w:rsidR="007311D6" w:rsidRPr="000639B1" w:rsidRDefault="007311D6" w:rsidP="007311D6">
            <w:pPr>
              <w:rPr>
                <w:b/>
                <w:bCs/>
              </w:rPr>
            </w:pPr>
            <w:r w:rsidRPr="000639B1">
              <w:rPr>
                <w:b/>
                <w:bCs/>
              </w:rPr>
              <w:t>RTF Update</w:t>
            </w:r>
          </w:p>
          <w:p w14:paraId="2EF1523E" w14:textId="77777777" w:rsidR="007311D6" w:rsidRDefault="007311D6" w:rsidP="007311D6"/>
          <w:p w14:paraId="7AECDBED" w14:textId="4235D108" w:rsidR="007311D6" w:rsidRDefault="007311D6" w:rsidP="007311D6">
            <w:pPr>
              <w:jc w:val="both"/>
            </w:pPr>
            <w:r>
              <w:t>Nick Leggett provided the RTF updates.</w:t>
            </w:r>
          </w:p>
          <w:p w14:paraId="25A0F879" w14:textId="3F4F29E7" w:rsidR="007004F0" w:rsidRDefault="007004F0" w:rsidP="007311D6">
            <w:pPr>
              <w:jc w:val="both"/>
            </w:pPr>
            <w:r>
              <w:t>Discussion around technology and infrastructure changes which will impact road users and trucking companies (Deloitte Report).  A labour shortage is acknowledged with a training incentive program available to industry to attract people into new jobs/careers.</w:t>
            </w:r>
          </w:p>
          <w:p w14:paraId="7CBA311E" w14:textId="243AB19A" w:rsidR="007004F0" w:rsidRDefault="007004F0" w:rsidP="007311D6">
            <w:pPr>
              <w:jc w:val="both"/>
            </w:pPr>
            <w:r>
              <w:t xml:space="preserve">Group raised immigration issues with existing drivers and problems in regions where relief drivers are unable to move temporarily to where demand is, with an acknowledged shortage assistance is needed to make better use of drivers employed and available.  </w:t>
            </w:r>
          </w:p>
          <w:p w14:paraId="6BBE1745" w14:textId="77777777" w:rsidR="007311D6" w:rsidRDefault="007311D6" w:rsidP="007311D6">
            <w:pPr>
              <w:jc w:val="both"/>
            </w:pPr>
          </w:p>
          <w:p w14:paraId="768F9BCA" w14:textId="77777777" w:rsidR="007311D6" w:rsidRDefault="007311D6" w:rsidP="007311D6">
            <w:pPr>
              <w:jc w:val="both"/>
            </w:pPr>
            <w:r>
              <w:t>Nick also confirmed the RTF will provide minute taking services for the group for future meetings.</w:t>
            </w:r>
          </w:p>
          <w:p w14:paraId="5FA0A7EF" w14:textId="77777777" w:rsidR="000639B1" w:rsidRDefault="000639B1" w:rsidP="003C2FAD">
            <w:pPr>
              <w:rPr>
                <w:b/>
              </w:rPr>
            </w:pPr>
          </w:p>
          <w:p w14:paraId="36967CAF" w14:textId="77777777" w:rsidR="000639B1" w:rsidRDefault="000639B1" w:rsidP="003C2FAD">
            <w:pPr>
              <w:rPr>
                <w:bCs/>
              </w:rPr>
            </w:pPr>
          </w:p>
          <w:p w14:paraId="6B0C7C4B" w14:textId="66D868A4" w:rsidR="000639B1" w:rsidRPr="000639B1" w:rsidRDefault="000639B1" w:rsidP="004444F3">
            <w:pPr>
              <w:jc w:val="both"/>
              <w:rPr>
                <w:bCs/>
              </w:rPr>
            </w:pPr>
          </w:p>
        </w:tc>
        <w:tc>
          <w:tcPr>
            <w:tcW w:w="2268" w:type="dxa"/>
          </w:tcPr>
          <w:p w14:paraId="1FC66884" w14:textId="77777777" w:rsidR="000639B1" w:rsidRDefault="000639B1" w:rsidP="003574BE">
            <w:pPr>
              <w:jc w:val="both"/>
            </w:pPr>
          </w:p>
          <w:p w14:paraId="520E52D7" w14:textId="77777777" w:rsidR="000639B1" w:rsidRDefault="000639B1" w:rsidP="003574BE">
            <w:pPr>
              <w:jc w:val="both"/>
            </w:pPr>
          </w:p>
          <w:p w14:paraId="5C7F1AD0" w14:textId="77777777" w:rsidR="000639B1" w:rsidRDefault="000639B1" w:rsidP="003574BE">
            <w:pPr>
              <w:jc w:val="both"/>
            </w:pPr>
          </w:p>
          <w:p w14:paraId="6081C8D2" w14:textId="77777777" w:rsidR="000639B1" w:rsidRDefault="000639B1" w:rsidP="003574BE">
            <w:pPr>
              <w:jc w:val="both"/>
            </w:pPr>
          </w:p>
          <w:p w14:paraId="59093FB5" w14:textId="25FBEBF5" w:rsidR="000639B1" w:rsidRDefault="007311D6" w:rsidP="003574BE">
            <w:pPr>
              <w:jc w:val="both"/>
            </w:pPr>
            <w:r>
              <w:t>Ongoing</w:t>
            </w:r>
          </w:p>
        </w:tc>
      </w:tr>
      <w:tr w:rsidR="002C09E5" w14:paraId="078C3F42" w14:textId="77777777" w:rsidTr="008B3B33">
        <w:tc>
          <w:tcPr>
            <w:tcW w:w="6748" w:type="dxa"/>
          </w:tcPr>
          <w:p w14:paraId="01867014" w14:textId="77777777" w:rsidR="007311D6" w:rsidRDefault="00EE5036" w:rsidP="003C2FAD">
            <w:pPr>
              <w:rPr>
                <w:b/>
                <w:bCs/>
              </w:rPr>
            </w:pPr>
            <w:r w:rsidRPr="000639B1">
              <w:rPr>
                <w:b/>
                <w:bCs/>
              </w:rPr>
              <w:t xml:space="preserve">Item </w:t>
            </w:r>
            <w:r w:rsidR="000639B1" w:rsidRPr="000639B1">
              <w:rPr>
                <w:b/>
                <w:bCs/>
              </w:rPr>
              <w:t>5</w:t>
            </w:r>
            <w:r w:rsidR="007311D6">
              <w:rPr>
                <w:b/>
                <w:bCs/>
              </w:rPr>
              <w:t xml:space="preserve"> </w:t>
            </w:r>
          </w:p>
          <w:p w14:paraId="44EC02B3" w14:textId="77777777" w:rsidR="007311D6" w:rsidRDefault="007311D6" w:rsidP="003C2FAD">
            <w:pPr>
              <w:rPr>
                <w:b/>
                <w:bCs/>
              </w:rPr>
            </w:pPr>
          </w:p>
          <w:p w14:paraId="44AA6479" w14:textId="1D86515C" w:rsidR="00EE5036" w:rsidRPr="000639B1" w:rsidRDefault="007311D6" w:rsidP="003C2FAD">
            <w:pPr>
              <w:rPr>
                <w:b/>
                <w:bCs/>
              </w:rPr>
            </w:pPr>
            <w:r>
              <w:rPr>
                <w:b/>
                <w:bCs/>
              </w:rPr>
              <w:t>Other Business</w:t>
            </w:r>
          </w:p>
          <w:p w14:paraId="6D778C7E" w14:textId="77777777" w:rsidR="000639B1" w:rsidRPr="000639B1" w:rsidRDefault="000639B1" w:rsidP="003C2FAD">
            <w:pPr>
              <w:rPr>
                <w:b/>
                <w:bCs/>
              </w:rPr>
            </w:pPr>
          </w:p>
          <w:p w14:paraId="361C2675" w14:textId="1FAF159C" w:rsidR="00AD1C72" w:rsidRDefault="007311D6" w:rsidP="007311D6">
            <w:pPr>
              <w:jc w:val="both"/>
            </w:pPr>
            <w:r>
              <w:t>Discussion around ECU failures in the gantry and the requirement to tow the vehicles out.  Failure linked to switching on/off master switch.  Is the ECU in the hazardous zone given it is enclosed in the chassis?  Modern vehicles are not compliant with the requirement to turn off/on the master switch without potential damage to the computers.</w:t>
            </w:r>
          </w:p>
          <w:p w14:paraId="783AC1F2" w14:textId="012F66F7" w:rsidR="007311D6" w:rsidRDefault="007311D6" w:rsidP="007311D6">
            <w:pPr>
              <w:jc w:val="both"/>
            </w:pPr>
          </w:p>
          <w:p w14:paraId="128DC390" w14:textId="7C125D95" w:rsidR="007311D6" w:rsidRDefault="007311D6" w:rsidP="007311D6">
            <w:pPr>
              <w:jc w:val="both"/>
            </w:pPr>
            <w:r>
              <w:t>Actions: Request information from Australia on requirements around the master switch while loading in the gantry.  Check who is responsible for issuing the SLP in Australia.</w:t>
            </w:r>
          </w:p>
          <w:p w14:paraId="679D04AD" w14:textId="23654B27" w:rsidR="007311D6" w:rsidRDefault="007311D6" w:rsidP="007311D6">
            <w:pPr>
              <w:jc w:val="both"/>
            </w:pPr>
            <w:r>
              <w:t>Kevin to resend to the group the towing policy.</w:t>
            </w:r>
          </w:p>
          <w:p w14:paraId="132590AF" w14:textId="77777777" w:rsidR="007311D6" w:rsidRDefault="007311D6" w:rsidP="007311D6">
            <w:pPr>
              <w:jc w:val="both"/>
            </w:pPr>
          </w:p>
          <w:p w14:paraId="391B1846" w14:textId="70FC1E5C" w:rsidR="007311D6" w:rsidRPr="006316B2" w:rsidRDefault="007311D6" w:rsidP="007311D6">
            <w:pPr>
              <w:jc w:val="both"/>
            </w:pPr>
          </w:p>
        </w:tc>
        <w:tc>
          <w:tcPr>
            <w:tcW w:w="2268" w:type="dxa"/>
          </w:tcPr>
          <w:p w14:paraId="2F9E1F73" w14:textId="77777777" w:rsidR="007E5266" w:rsidRDefault="007E5266" w:rsidP="006642C8">
            <w:pPr>
              <w:jc w:val="both"/>
            </w:pPr>
          </w:p>
          <w:p w14:paraId="71E17C65" w14:textId="77777777" w:rsidR="007311D6" w:rsidRDefault="007311D6" w:rsidP="006642C8">
            <w:pPr>
              <w:jc w:val="both"/>
            </w:pPr>
          </w:p>
          <w:p w14:paraId="04DF3D69" w14:textId="77777777" w:rsidR="007311D6" w:rsidRDefault="007311D6" w:rsidP="006642C8">
            <w:pPr>
              <w:jc w:val="both"/>
            </w:pPr>
          </w:p>
          <w:p w14:paraId="5541C52E" w14:textId="77777777" w:rsidR="00C632E6" w:rsidRDefault="00C632E6" w:rsidP="006642C8">
            <w:pPr>
              <w:jc w:val="both"/>
            </w:pPr>
          </w:p>
          <w:p w14:paraId="5CE97F9D" w14:textId="77777777" w:rsidR="00C632E6" w:rsidRDefault="00C632E6" w:rsidP="006642C8">
            <w:pPr>
              <w:jc w:val="both"/>
            </w:pPr>
          </w:p>
          <w:p w14:paraId="75D6AD5F" w14:textId="77777777" w:rsidR="00C632E6" w:rsidRDefault="00C632E6" w:rsidP="006642C8">
            <w:pPr>
              <w:jc w:val="both"/>
            </w:pPr>
          </w:p>
          <w:p w14:paraId="2900A7B3" w14:textId="04D18B39" w:rsidR="00247C05" w:rsidRDefault="007311D6" w:rsidP="006642C8">
            <w:pPr>
              <w:jc w:val="both"/>
            </w:pPr>
            <w:r>
              <w:t>Ian McDonald/Kevin S/Jess M</w:t>
            </w:r>
          </w:p>
          <w:p w14:paraId="1E5B9A73" w14:textId="77777777" w:rsidR="00247C05" w:rsidRDefault="00247C05" w:rsidP="006642C8">
            <w:pPr>
              <w:jc w:val="both"/>
            </w:pPr>
          </w:p>
          <w:p w14:paraId="43E8C275" w14:textId="77777777" w:rsidR="00247C05" w:rsidRDefault="00247C05" w:rsidP="006642C8">
            <w:pPr>
              <w:jc w:val="both"/>
            </w:pPr>
          </w:p>
          <w:p w14:paraId="332AAF1A" w14:textId="233E3ECC" w:rsidR="00247C05" w:rsidRDefault="00247C05" w:rsidP="006642C8">
            <w:pPr>
              <w:jc w:val="both"/>
            </w:pPr>
          </w:p>
        </w:tc>
      </w:tr>
      <w:tr w:rsidR="005A696A" w14:paraId="382C125F" w14:textId="77777777" w:rsidTr="008B3B33">
        <w:tc>
          <w:tcPr>
            <w:tcW w:w="6748" w:type="dxa"/>
          </w:tcPr>
          <w:p w14:paraId="0DC99770" w14:textId="49AB44E7" w:rsidR="005A696A" w:rsidRDefault="005A696A" w:rsidP="00B20152">
            <w:pPr>
              <w:jc w:val="both"/>
              <w:rPr>
                <w:b/>
              </w:rPr>
            </w:pPr>
            <w:r>
              <w:rPr>
                <w:b/>
              </w:rPr>
              <w:t xml:space="preserve">Item </w:t>
            </w:r>
            <w:r w:rsidR="001D24FD">
              <w:rPr>
                <w:b/>
              </w:rPr>
              <w:t>5</w:t>
            </w:r>
          </w:p>
          <w:p w14:paraId="4A7F37BF" w14:textId="77777777" w:rsidR="000639B1" w:rsidRDefault="000639B1" w:rsidP="00B20152">
            <w:pPr>
              <w:jc w:val="both"/>
              <w:rPr>
                <w:b/>
              </w:rPr>
            </w:pPr>
          </w:p>
          <w:p w14:paraId="0A15819B" w14:textId="7489204C" w:rsidR="00F83A1C" w:rsidRDefault="00F83A1C" w:rsidP="00B20152">
            <w:pPr>
              <w:jc w:val="both"/>
              <w:rPr>
                <w:b/>
              </w:rPr>
            </w:pPr>
            <w:r w:rsidRPr="000639B1">
              <w:rPr>
                <w:b/>
              </w:rPr>
              <w:t xml:space="preserve">Incident </w:t>
            </w:r>
            <w:r w:rsidR="000639B1" w:rsidRPr="000639B1">
              <w:rPr>
                <w:b/>
              </w:rPr>
              <w:t>S</w:t>
            </w:r>
            <w:r w:rsidRPr="000639B1">
              <w:rPr>
                <w:b/>
              </w:rPr>
              <w:t>haring</w:t>
            </w:r>
          </w:p>
          <w:p w14:paraId="4BA8F4D3" w14:textId="2BC52E2D" w:rsidR="004444F3" w:rsidRDefault="004444F3" w:rsidP="00B20152">
            <w:pPr>
              <w:jc w:val="both"/>
              <w:rPr>
                <w:b/>
              </w:rPr>
            </w:pPr>
          </w:p>
          <w:p w14:paraId="468940ED" w14:textId="74B37213" w:rsidR="004444F3" w:rsidRPr="004444F3" w:rsidRDefault="004444F3" w:rsidP="00B20152">
            <w:pPr>
              <w:jc w:val="both"/>
              <w:rPr>
                <w:bCs/>
              </w:rPr>
            </w:pPr>
            <w:r>
              <w:rPr>
                <w:bCs/>
              </w:rPr>
              <w:t xml:space="preserve">Incident sharing by Z and BP on canopy fire at service station and location and accessibility of emergency stop buttons at retail sites.  </w:t>
            </w:r>
          </w:p>
          <w:p w14:paraId="4A88B11F" w14:textId="77777777" w:rsidR="000639B1" w:rsidRPr="00B05946" w:rsidRDefault="000639B1" w:rsidP="00B20152">
            <w:pPr>
              <w:jc w:val="both"/>
              <w:rPr>
                <w:bCs/>
              </w:rPr>
            </w:pPr>
          </w:p>
          <w:p w14:paraId="605511A7" w14:textId="73DA7A94" w:rsidR="00F7394F" w:rsidRPr="005A696A" w:rsidRDefault="00F7394F" w:rsidP="004444F3">
            <w:pPr>
              <w:jc w:val="both"/>
            </w:pPr>
          </w:p>
        </w:tc>
        <w:tc>
          <w:tcPr>
            <w:tcW w:w="2268" w:type="dxa"/>
          </w:tcPr>
          <w:p w14:paraId="5E614619" w14:textId="2A96388A" w:rsidR="005A696A" w:rsidRDefault="005A696A" w:rsidP="006642C8">
            <w:pPr>
              <w:jc w:val="both"/>
            </w:pPr>
          </w:p>
          <w:p w14:paraId="6003C226" w14:textId="0B3C189B" w:rsidR="00B05946" w:rsidRDefault="00B05946" w:rsidP="006642C8">
            <w:pPr>
              <w:jc w:val="both"/>
            </w:pPr>
          </w:p>
          <w:p w14:paraId="71B5CFF8" w14:textId="77777777" w:rsidR="004444F3" w:rsidRDefault="004444F3" w:rsidP="006642C8">
            <w:pPr>
              <w:jc w:val="both"/>
            </w:pPr>
          </w:p>
          <w:p w14:paraId="60CCA22E" w14:textId="77777777" w:rsidR="004444F3" w:rsidRDefault="004444F3" w:rsidP="006642C8">
            <w:pPr>
              <w:jc w:val="both"/>
            </w:pPr>
          </w:p>
          <w:p w14:paraId="0ADAF726" w14:textId="66F85B1F" w:rsidR="00247C05" w:rsidRDefault="00247C05" w:rsidP="006642C8">
            <w:pPr>
              <w:jc w:val="both"/>
            </w:pPr>
            <w:r>
              <w:t>Ongoing</w:t>
            </w:r>
          </w:p>
          <w:p w14:paraId="3A9318D2" w14:textId="7C982A88" w:rsidR="0046235A" w:rsidRDefault="0046235A" w:rsidP="006642C8">
            <w:pPr>
              <w:jc w:val="both"/>
            </w:pPr>
          </w:p>
        </w:tc>
      </w:tr>
      <w:tr w:rsidR="00970CBA" w14:paraId="7089DEE3" w14:textId="77777777" w:rsidTr="008B3B33">
        <w:tc>
          <w:tcPr>
            <w:tcW w:w="6748" w:type="dxa"/>
          </w:tcPr>
          <w:p w14:paraId="74410451" w14:textId="0B0D38FF" w:rsidR="0011089F" w:rsidRDefault="002027CA" w:rsidP="002027CA">
            <w:pPr>
              <w:jc w:val="both"/>
              <w:rPr>
                <w:b/>
              </w:rPr>
            </w:pPr>
            <w:r>
              <w:rPr>
                <w:b/>
              </w:rPr>
              <w:t>Next Meeting:</w:t>
            </w:r>
            <w:r w:rsidR="0011089F">
              <w:rPr>
                <w:b/>
              </w:rPr>
              <w:t xml:space="preserve"> </w:t>
            </w:r>
          </w:p>
          <w:p w14:paraId="155036F3" w14:textId="4729AB2C" w:rsidR="00B05946" w:rsidRPr="00B05946" w:rsidRDefault="00B05946" w:rsidP="002027CA">
            <w:pPr>
              <w:jc w:val="both"/>
              <w:rPr>
                <w:bCs/>
              </w:rPr>
            </w:pPr>
            <w:r w:rsidRPr="00B05946">
              <w:rPr>
                <w:bCs/>
              </w:rPr>
              <w:t xml:space="preserve">The meeting closed at </w:t>
            </w:r>
            <w:r w:rsidR="000639B1">
              <w:rPr>
                <w:bCs/>
              </w:rPr>
              <w:t>1</w:t>
            </w:r>
            <w:r w:rsidR="00A8744E">
              <w:rPr>
                <w:bCs/>
              </w:rPr>
              <w:t>.15pm</w:t>
            </w:r>
          </w:p>
          <w:p w14:paraId="5E3A7821" w14:textId="051D2E87" w:rsidR="00F7394F" w:rsidRDefault="00B05946" w:rsidP="002027CA">
            <w:pPr>
              <w:jc w:val="both"/>
            </w:pPr>
            <w:r>
              <w:t>Next meeting</w:t>
            </w:r>
            <w:r w:rsidR="000639B1">
              <w:t>:</w:t>
            </w:r>
            <w:r>
              <w:t xml:space="preserve"> </w:t>
            </w:r>
            <w:r w:rsidR="00A8744E">
              <w:t>McFall Fuel</w:t>
            </w:r>
            <w:r w:rsidR="00F7394F">
              <w:t>,</w:t>
            </w:r>
            <w:r w:rsidR="000639B1">
              <w:t xml:space="preserve"> </w:t>
            </w:r>
            <w:r w:rsidR="00A8744E">
              <w:t>Hocking Street</w:t>
            </w:r>
            <w:r>
              <w:t xml:space="preserve">, </w:t>
            </w:r>
            <w:r w:rsidR="00A8744E">
              <w:t>Mt Maunganui</w:t>
            </w:r>
            <w:r w:rsidR="000639B1">
              <w:t xml:space="preserve"> </w:t>
            </w:r>
          </w:p>
          <w:p w14:paraId="7D4F9826" w14:textId="58A942B4" w:rsidR="00431331" w:rsidRDefault="000639B1" w:rsidP="002027CA">
            <w:pPr>
              <w:jc w:val="both"/>
            </w:pPr>
            <w:r>
              <w:t>Wednesday</w:t>
            </w:r>
            <w:r w:rsidR="00CA6F4E">
              <w:t xml:space="preserve"> </w:t>
            </w:r>
            <w:r w:rsidR="00A8744E">
              <w:t>5</w:t>
            </w:r>
            <w:r w:rsidR="00A8744E" w:rsidRPr="00A8744E">
              <w:rPr>
                <w:vertAlign w:val="superscript"/>
              </w:rPr>
              <w:t>th</w:t>
            </w:r>
            <w:r w:rsidR="00A8744E">
              <w:t xml:space="preserve"> May</w:t>
            </w:r>
            <w:r w:rsidR="00CA6F4E">
              <w:t xml:space="preserve"> 2021</w:t>
            </w:r>
          </w:p>
          <w:p w14:paraId="47FC84AF" w14:textId="0BECCC5C" w:rsidR="00A746CC" w:rsidRDefault="00A746CC" w:rsidP="002027CA">
            <w:pPr>
              <w:jc w:val="both"/>
            </w:pPr>
            <w:r>
              <w:t>10.</w:t>
            </w:r>
            <w:r w:rsidR="006455D2">
              <w:t>0</w:t>
            </w:r>
            <w:r>
              <w:t>0</w:t>
            </w:r>
            <w:r w:rsidR="000639B1">
              <w:t>am</w:t>
            </w:r>
            <w:r>
              <w:t>-2.</w:t>
            </w:r>
            <w:r w:rsidR="006455D2">
              <w:t>0</w:t>
            </w:r>
            <w:r>
              <w:t>0</w:t>
            </w:r>
            <w:r w:rsidR="000639B1">
              <w:t>pm</w:t>
            </w:r>
          </w:p>
          <w:p w14:paraId="718CEC67" w14:textId="77777777" w:rsidR="00970CBA" w:rsidRPr="006535C1" w:rsidRDefault="00970CBA" w:rsidP="000D519F">
            <w:pPr>
              <w:jc w:val="both"/>
              <w:rPr>
                <w:b/>
              </w:rPr>
            </w:pPr>
          </w:p>
        </w:tc>
        <w:tc>
          <w:tcPr>
            <w:tcW w:w="2268" w:type="dxa"/>
          </w:tcPr>
          <w:p w14:paraId="252290DB" w14:textId="77777777" w:rsidR="00970CBA" w:rsidRDefault="00970CBA" w:rsidP="000012B2"/>
          <w:p w14:paraId="46561C56" w14:textId="6BC010C5" w:rsidR="006455D2" w:rsidRDefault="006455D2" w:rsidP="000012B2"/>
        </w:tc>
      </w:tr>
    </w:tbl>
    <w:p w14:paraId="1766DAD8" w14:textId="77777777" w:rsidR="00DC6C74" w:rsidRDefault="00DC6C74" w:rsidP="003F1752">
      <w:pPr>
        <w:spacing w:after="0" w:line="240" w:lineRule="auto"/>
        <w:jc w:val="both"/>
      </w:pPr>
    </w:p>
    <w:sectPr w:rsidR="00DC6C74" w:rsidSect="00422398">
      <w:footerReference w:type="default" r:id="rId8"/>
      <w:pgSz w:w="11906" w:h="16838"/>
      <w:pgMar w:top="899" w:right="1440" w:bottom="107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F5F27" w14:textId="77777777" w:rsidR="000C7972" w:rsidRDefault="000C7972" w:rsidP="00A5791F">
      <w:pPr>
        <w:spacing w:after="0" w:line="240" w:lineRule="auto"/>
      </w:pPr>
      <w:r>
        <w:separator/>
      </w:r>
    </w:p>
  </w:endnote>
  <w:endnote w:type="continuationSeparator" w:id="0">
    <w:p w14:paraId="08610344" w14:textId="77777777" w:rsidR="000C7972" w:rsidRDefault="000C7972" w:rsidP="00A5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265A" w14:textId="3758CB5F" w:rsidR="0098700C" w:rsidRPr="000639B1" w:rsidRDefault="0098700C">
    <w:pPr>
      <w:pStyle w:val="Footer"/>
      <w:pBdr>
        <w:top w:val="thinThickSmallGap" w:sz="24" w:space="1" w:color="622423" w:themeColor="accent2" w:themeShade="7F"/>
      </w:pBdr>
      <w:rPr>
        <w:rFonts w:eastAsiaTheme="majorEastAsia" w:cstheme="minorHAnsi"/>
        <w:sz w:val="18"/>
        <w:szCs w:val="18"/>
      </w:rPr>
    </w:pPr>
    <w:r w:rsidRPr="000639B1">
      <w:rPr>
        <w:rFonts w:eastAsiaTheme="majorEastAsia" w:cstheme="minorHAnsi"/>
        <w:sz w:val="18"/>
        <w:szCs w:val="18"/>
      </w:rPr>
      <w:t xml:space="preserve">Minutes of PITSF meeting held on </w:t>
    </w:r>
    <w:r w:rsidR="000639B1">
      <w:rPr>
        <w:rFonts w:eastAsiaTheme="majorEastAsia" w:cstheme="minorHAnsi"/>
        <w:sz w:val="18"/>
        <w:szCs w:val="18"/>
      </w:rPr>
      <w:t>14</w:t>
    </w:r>
    <w:r w:rsidR="000639B1" w:rsidRPr="000639B1">
      <w:rPr>
        <w:rFonts w:eastAsiaTheme="majorEastAsia" w:cstheme="minorHAnsi"/>
        <w:sz w:val="18"/>
        <w:szCs w:val="18"/>
        <w:vertAlign w:val="superscript"/>
      </w:rPr>
      <w:t>th</w:t>
    </w:r>
    <w:r w:rsidR="000639B1">
      <w:rPr>
        <w:rFonts w:eastAsiaTheme="majorEastAsia" w:cstheme="minorHAnsi"/>
        <w:sz w:val="18"/>
        <w:szCs w:val="18"/>
      </w:rPr>
      <w:t xml:space="preserve"> October</w:t>
    </w:r>
    <w:r w:rsidR="00276A63" w:rsidRPr="000639B1">
      <w:rPr>
        <w:rFonts w:eastAsiaTheme="majorEastAsia" w:cstheme="minorHAnsi"/>
        <w:sz w:val="18"/>
        <w:szCs w:val="18"/>
      </w:rPr>
      <w:t xml:space="preserve"> 2020</w:t>
    </w:r>
  </w:p>
  <w:p w14:paraId="716C1745" w14:textId="77777777" w:rsidR="0098700C" w:rsidRPr="00A5791F" w:rsidRDefault="0098700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9EF64" w14:textId="77777777" w:rsidR="000C7972" w:rsidRDefault="000C7972" w:rsidP="00A5791F">
      <w:pPr>
        <w:spacing w:after="0" w:line="240" w:lineRule="auto"/>
      </w:pPr>
      <w:r>
        <w:separator/>
      </w:r>
    </w:p>
  </w:footnote>
  <w:footnote w:type="continuationSeparator" w:id="0">
    <w:p w14:paraId="707D80FA" w14:textId="77777777" w:rsidR="000C7972" w:rsidRDefault="000C7972" w:rsidP="00A57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23643"/>
    <w:multiLevelType w:val="hybridMultilevel"/>
    <w:tmpl w:val="B62EA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1A32B6"/>
    <w:multiLevelType w:val="hybridMultilevel"/>
    <w:tmpl w:val="6EF89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55C0586"/>
    <w:multiLevelType w:val="hybridMultilevel"/>
    <w:tmpl w:val="341EAC8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2B407F7B"/>
    <w:multiLevelType w:val="hybridMultilevel"/>
    <w:tmpl w:val="BC8CE0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BFD172C"/>
    <w:multiLevelType w:val="hybridMultilevel"/>
    <w:tmpl w:val="58308A80"/>
    <w:lvl w:ilvl="0" w:tplc="9FC014EE">
      <w:start w:val="60"/>
      <w:numFmt w:val="bullet"/>
      <w:lvlText w:val="-"/>
      <w:lvlJc w:val="left"/>
      <w:pPr>
        <w:ind w:left="720" w:hanging="360"/>
      </w:pPr>
      <w:rPr>
        <w:rFonts w:ascii="Century Gothic" w:eastAsia="Times New Roman" w:hAnsi="Century Gothic"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AE72D1"/>
    <w:multiLevelType w:val="hybridMultilevel"/>
    <w:tmpl w:val="060C3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8D3399"/>
    <w:multiLevelType w:val="hybridMultilevel"/>
    <w:tmpl w:val="618CD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AFC6AC0"/>
    <w:multiLevelType w:val="hybridMultilevel"/>
    <w:tmpl w:val="4740B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B5E148E"/>
    <w:multiLevelType w:val="hybridMultilevel"/>
    <w:tmpl w:val="6400BB0E"/>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9" w15:restartNumberingAfterBreak="0">
    <w:nsid w:val="4D021A41"/>
    <w:multiLevelType w:val="hybridMultilevel"/>
    <w:tmpl w:val="E3223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31449D3"/>
    <w:multiLevelType w:val="hybridMultilevel"/>
    <w:tmpl w:val="ADA2C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FE919F3"/>
    <w:multiLevelType w:val="hybridMultilevel"/>
    <w:tmpl w:val="ED22F8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120272B"/>
    <w:multiLevelType w:val="hybridMultilevel"/>
    <w:tmpl w:val="785A73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B2D3B79"/>
    <w:multiLevelType w:val="hybridMultilevel"/>
    <w:tmpl w:val="9B720A5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7C743542"/>
    <w:multiLevelType w:val="hybridMultilevel"/>
    <w:tmpl w:val="A3DE1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7"/>
  </w:num>
  <w:num w:numId="7">
    <w:abstractNumId w:val="3"/>
  </w:num>
  <w:num w:numId="8">
    <w:abstractNumId w:val="12"/>
  </w:num>
  <w:num w:numId="9">
    <w:abstractNumId w:val="6"/>
  </w:num>
  <w:num w:numId="10">
    <w:abstractNumId w:val="10"/>
  </w:num>
  <w:num w:numId="11">
    <w:abstractNumId w:val="1"/>
  </w:num>
  <w:num w:numId="12">
    <w:abstractNumId w:val="9"/>
  </w:num>
  <w:num w:numId="13">
    <w:abstractNumId w:val="4"/>
  </w:num>
  <w:num w:numId="14">
    <w:abstractNumId w:val="0"/>
  </w:num>
  <w:num w:numId="15">
    <w:abstractNumId w:val="1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3B"/>
    <w:rsid w:val="00000462"/>
    <w:rsid w:val="000012B2"/>
    <w:rsid w:val="00007E81"/>
    <w:rsid w:val="000148AA"/>
    <w:rsid w:val="000179CD"/>
    <w:rsid w:val="000235AD"/>
    <w:rsid w:val="00030E42"/>
    <w:rsid w:val="00034BBA"/>
    <w:rsid w:val="00036EE9"/>
    <w:rsid w:val="00042EA3"/>
    <w:rsid w:val="000446F4"/>
    <w:rsid w:val="000514EE"/>
    <w:rsid w:val="00051AF2"/>
    <w:rsid w:val="000639B1"/>
    <w:rsid w:val="000670D1"/>
    <w:rsid w:val="00071A45"/>
    <w:rsid w:val="00071AC6"/>
    <w:rsid w:val="00074833"/>
    <w:rsid w:val="000762E6"/>
    <w:rsid w:val="00076CA9"/>
    <w:rsid w:val="00080943"/>
    <w:rsid w:val="0008096D"/>
    <w:rsid w:val="00082586"/>
    <w:rsid w:val="00085CB3"/>
    <w:rsid w:val="000A0177"/>
    <w:rsid w:val="000A096C"/>
    <w:rsid w:val="000A152B"/>
    <w:rsid w:val="000A6058"/>
    <w:rsid w:val="000A60F8"/>
    <w:rsid w:val="000A7051"/>
    <w:rsid w:val="000B7127"/>
    <w:rsid w:val="000B7746"/>
    <w:rsid w:val="000C7972"/>
    <w:rsid w:val="000D290B"/>
    <w:rsid w:val="000D519F"/>
    <w:rsid w:val="000E2098"/>
    <w:rsid w:val="000E3393"/>
    <w:rsid w:val="000E3E26"/>
    <w:rsid w:val="000F0D2E"/>
    <w:rsid w:val="000F3FE2"/>
    <w:rsid w:val="000F58A3"/>
    <w:rsid w:val="000F7B72"/>
    <w:rsid w:val="00100415"/>
    <w:rsid w:val="001017EC"/>
    <w:rsid w:val="00103E5F"/>
    <w:rsid w:val="0011089F"/>
    <w:rsid w:val="001171BB"/>
    <w:rsid w:val="00124479"/>
    <w:rsid w:val="00124E07"/>
    <w:rsid w:val="00125E69"/>
    <w:rsid w:val="00127ED7"/>
    <w:rsid w:val="00132ECC"/>
    <w:rsid w:val="00133FEA"/>
    <w:rsid w:val="0014218B"/>
    <w:rsid w:val="001467DB"/>
    <w:rsid w:val="0015213A"/>
    <w:rsid w:val="0015235D"/>
    <w:rsid w:val="001543E0"/>
    <w:rsid w:val="001603DC"/>
    <w:rsid w:val="00165A08"/>
    <w:rsid w:val="00166B48"/>
    <w:rsid w:val="00171505"/>
    <w:rsid w:val="00176623"/>
    <w:rsid w:val="0018388D"/>
    <w:rsid w:val="00191248"/>
    <w:rsid w:val="001967B4"/>
    <w:rsid w:val="001B2875"/>
    <w:rsid w:val="001C0351"/>
    <w:rsid w:val="001D1822"/>
    <w:rsid w:val="001D1BE5"/>
    <w:rsid w:val="001D20B3"/>
    <w:rsid w:val="001D2199"/>
    <w:rsid w:val="001D24FD"/>
    <w:rsid w:val="001D3EDA"/>
    <w:rsid w:val="001D4EA5"/>
    <w:rsid w:val="001D6B17"/>
    <w:rsid w:val="001E02EF"/>
    <w:rsid w:val="001E3F58"/>
    <w:rsid w:val="001F1220"/>
    <w:rsid w:val="001F3939"/>
    <w:rsid w:val="002027CA"/>
    <w:rsid w:val="00210AAA"/>
    <w:rsid w:val="0021304E"/>
    <w:rsid w:val="00214B62"/>
    <w:rsid w:val="002252D7"/>
    <w:rsid w:val="00232682"/>
    <w:rsid w:val="00233C0E"/>
    <w:rsid w:val="00236ECE"/>
    <w:rsid w:val="00237DA4"/>
    <w:rsid w:val="00246F5B"/>
    <w:rsid w:val="002474A7"/>
    <w:rsid w:val="00247AA4"/>
    <w:rsid w:val="00247C05"/>
    <w:rsid w:val="002510F1"/>
    <w:rsid w:val="002656FB"/>
    <w:rsid w:val="002705DE"/>
    <w:rsid w:val="002727F3"/>
    <w:rsid w:val="00275308"/>
    <w:rsid w:val="00276A63"/>
    <w:rsid w:val="0028178C"/>
    <w:rsid w:val="00292F2A"/>
    <w:rsid w:val="002A0F29"/>
    <w:rsid w:val="002A2BE5"/>
    <w:rsid w:val="002A6626"/>
    <w:rsid w:val="002B136E"/>
    <w:rsid w:val="002B19DB"/>
    <w:rsid w:val="002C09E5"/>
    <w:rsid w:val="002C2C61"/>
    <w:rsid w:val="002C4163"/>
    <w:rsid w:val="002D5687"/>
    <w:rsid w:val="002D763A"/>
    <w:rsid w:val="002E0793"/>
    <w:rsid w:val="002E3DEA"/>
    <w:rsid w:val="002F1ABA"/>
    <w:rsid w:val="002F5D58"/>
    <w:rsid w:val="00301553"/>
    <w:rsid w:val="00303295"/>
    <w:rsid w:val="00303DE1"/>
    <w:rsid w:val="00305E68"/>
    <w:rsid w:val="00305F53"/>
    <w:rsid w:val="003073E5"/>
    <w:rsid w:val="00311E82"/>
    <w:rsid w:val="0031510C"/>
    <w:rsid w:val="003173FE"/>
    <w:rsid w:val="00322418"/>
    <w:rsid w:val="00331963"/>
    <w:rsid w:val="00332AD2"/>
    <w:rsid w:val="00332C31"/>
    <w:rsid w:val="00334A56"/>
    <w:rsid w:val="003521F2"/>
    <w:rsid w:val="00354713"/>
    <w:rsid w:val="003574BE"/>
    <w:rsid w:val="003602FB"/>
    <w:rsid w:val="0036180F"/>
    <w:rsid w:val="0037153C"/>
    <w:rsid w:val="00375A65"/>
    <w:rsid w:val="0038190A"/>
    <w:rsid w:val="00382DB2"/>
    <w:rsid w:val="00385211"/>
    <w:rsid w:val="0039043A"/>
    <w:rsid w:val="00391BA6"/>
    <w:rsid w:val="00397575"/>
    <w:rsid w:val="00397D71"/>
    <w:rsid w:val="003A4CD9"/>
    <w:rsid w:val="003A6A6E"/>
    <w:rsid w:val="003B3AFE"/>
    <w:rsid w:val="003C1D8D"/>
    <w:rsid w:val="003C2FAD"/>
    <w:rsid w:val="003D22B8"/>
    <w:rsid w:val="003D6A52"/>
    <w:rsid w:val="003D6D68"/>
    <w:rsid w:val="003E26D8"/>
    <w:rsid w:val="003E57F9"/>
    <w:rsid w:val="003E5CC8"/>
    <w:rsid w:val="003E629D"/>
    <w:rsid w:val="003F0831"/>
    <w:rsid w:val="003F1752"/>
    <w:rsid w:val="003F773C"/>
    <w:rsid w:val="00404D82"/>
    <w:rsid w:val="00405A07"/>
    <w:rsid w:val="00407A62"/>
    <w:rsid w:val="00411106"/>
    <w:rsid w:val="00411C87"/>
    <w:rsid w:val="00415280"/>
    <w:rsid w:val="00422398"/>
    <w:rsid w:val="00423241"/>
    <w:rsid w:val="00424E56"/>
    <w:rsid w:val="00426B3F"/>
    <w:rsid w:val="00431331"/>
    <w:rsid w:val="004339F8"/>
    <w:rsid w:val="00433CF0"/>
    <w:rsid w:val="0043403C"/>
    <w:rsid w:val="00443537"/>
    <w:rsid w:val="004444F3"/>
    <w:rsid w:val="00444FB9"/>
    <w:rsid w:val="00454ED1"/>
    <w:rsid w:val="00457186"/>
    <w:rsid w:val="00460AEB"/>
    <w:rsid w:val="0046235A"/>
    <w:rsid w:val="0047102C"/>
    <w:rsid w:val="00475F41"/>
    <w:rsid w:val="00477733"/>
    <w:rsid w:val="00480851"/>
    <w:rsid w:val="00480D33"/>
    <w:rsid w:val="00482522"/>
    <w:rsid w:val="0048341A"/>
    <w:rsid w:val="00483BB1"/>
    <w:rsid w:val="00490134"/>
    <w:rsid w:val="004977F5"/>
    <w:rsid w:val="004A0943"/>
    <w:rsid w:val="004A2FF8"/>
    <w:rsid w:val="004B1DA5"/>
    <w:rsid w:val="004B226C"/>
    <w:rsid w:val="004B22D5"/>
    <w:rsid w:val="004B5088"/>
    <w:rsid w:val="004B510B"/>
    <w:rsid w:val="004B5A0C"/>
    <w:rsid w:val="004C670A"/>
    <w:rsid w:val="004D29BB"/>
    <w:rsid w:val="004E785D"/>
    <w:rsid w:val="004F148D"/>
    <w:rsid w:val="004F2754"/>
    <w:rsid w:val="004F2BDE"/>
    <w:rsid w:val="005008B3"/>
    <w:rsid w:val="005028BC"/>
    <w:rsid w:val="00503E2D"/>
    <w:rsid w:val="005108F1"/>
    <w:rsid w:val="005142FA"/>
    <w:rsid w:val="005148B9"/>
    <w:rsid w:val="00516D7B"/>
    <w:rsid w:val="0052020C"/>
    <w:rsid w:val="005205EE"/>
    <w:rsid w:val="00523341"/>
    <w:rsid w:val="00532129"/>
    <w:rsid w:val="005323EE"/>
    <w:rsid w:val="00532431"/>
    <w:rsid w:val="00542FEE"/>
    <w:rsid w:val="00554E72"/>
    <w:rsid w:val="005551B3"/>
    <w:rsid w:val="00556E9D"/>
    <w:rsid w:val="00561AD8"/>
    <w:rsid w:val="00562A91"/>
    <w:rsid w:val="00576F0A"/>
    <w:rsid w:val="005770C2"/>
    <w:rsid w:val="00577494"/>
    <w:rsid w:val="00581CBB"/>
    <w:rsid w:val="005844B1"/>
    <w:rsid w:val="005A0631"/>
    <w:rsid w:val="005A13C6"/>
    <w:rsid w:val="005A696A"/>
    <w:rsid w:val="005B2F6F"/>
    <w:rsid w:val="005C71E1"/>
    <w:rsid w:val="005D2C93"/>
    <w:rsid w:val="005D478F"/>
    <w:rsid w:val="005D52B4"/>
    <w:rsid w:val="005D641A"/>
    <w:rsid w:val="005E1CA3"/>
    <w:rsid w:val="005E2D4A"/>
    <w:rsid w:val="005E3C6F"/>
    <w:rsid w:val="005F1D62"/>
    <w:rsid w:val="005F5C49"/>
    <w:rsid w:val="00601462"/>
    <w:rsid w:val="00605CC3"/>
    <w:rsid w:val="006079DC"/>
    <w:rsid w:val="00610C7F"/>
    <w:rsid w:val="00611989"/>
    <w:rsid w:val="006128ED"/>
    <w:rsid w:val="006178EC"/>
    <w:rsid w:val="006200C2"/>
    <w:rsid w:val="00623790"/>
    <w:rsid w:val="006261F6"/>
    <w:rsid w:val="006316B2"/>
    <w:rsid w:val="00634BC5"/>
    <w:rsid w:val="00635CE8"/>
    <w:rsid w:val="00637876"/>
    <w:rsid w:val="006455D2"/>
    <w:rsid w:val="00651874"/>
    <w:rsid w:val="00652669"/>
    <w:rsid w:val="006535C1"/>
    <w:rsid w:val="00653A3B"/>
    <w:rsid w:val="00656DD9"/>
    <w:rsid w:val="006642C8"/>
    <w:rsid w:val="00670981"/>
    <w:rsid w:val="0067450C"/>
    <w:rsid w:val="00675A93"/>
    <w:rsid w:val="00676055"/>
    <w:rsid w:val="00680A30"/>
    <w:rsid w:val="0068509F"/>
    <w:rsid w:val="00687817"/>
    <w:rsid w:val="00690B16"/>
    <w:rsid w:val="00691A0A"/>
    <w:rsid w:val="00691AF7"/>
    <w:rsid w:val="00692E3D"/>
    <w:rsid w:val="006951CF"/>
    <w:rsid w:val="00696427"/>
    <w:rsid w:val="006A4726"/>
    <w:rsid w:val="006A5FCB"/>
    <w:rsid w:val="006B2248"/>
    <w:rsid w:val="006C15CC"/>
    <w:rsid w:val="006D0792"/>
    <w:rsid w:val="006D276E"/>
    <w:rsid w:val="006F0CCA"/>
    <w:rsid w:val="006F5285"/>
    <w:rsid w:val="006F7764"/>
    <w:rsid w:val="007004F0"/>
    <w:rsid w:val="00703932"/>
    <w:rsid w:val="007058DD"/>
    <w:rsid w:val="00723225"/>
    <w:rsid w:val="00727C18"/>
    <w:rsid w:val="007311D6"/>
    <w:rsid w:val="007312C7"/>
    <w:rsid w:val="007336FE"/>
    <w:rsid w:val="00762A31"/>
    <w:rsid w:val="007656FD"/>
    <w:rsid w:val="00766C6F"/>
    <w:rsid w:val="0077702D"/>
    <w:rsid w:val="00777102"/>
    <w:rsid w:val="00780DF7"/>
    <w:rsid w:val="0079049C"/>
    <w:rsid w:val="007B14D1"/>
    <w:rsid w:val="007B2536"/>
    <w:rsid w:val="007B2DB5"/>
    <w:rsid w:val="007D399C"/>
    <w:rsid w:val="007E5266"/>
    <w:rsid w:val="007F2A99"/>
    <w:rsid w:val="007F345C"/>
    <w:rsid w:val="007F7A2D"/>
    <w:rsid w:val="00800EBD"/>
    <w:rsid w:val="0080383C"/>
    <w:rsid w:val="008067D4"/>
    <w:rsid w:val="00806FA2"/>
    <w:rsid w:val="0080749B"/>
    <w:rsid w:val="00810000"/>
    <w:rsid w:val="008115F5"/>
    <w:rsid w:val="00817AA9"/>
    <w:rsid w:val="00823912"/>
    <w:rsid w:val="0083126A"/>
    <w:rsid w:val="00833F69"/>
    <w:rsid w:val="008365B2"/>
    <w:rsid w:val="00843228"/>
    <w:rsid w:val="0084552A"/>
    <w:rsid w:val="00854B53"/>
    <w:rsid w:val="00857274"/>
    <w:rsid w:val="00860441"/>
    <w:rsid w:val="0086789B"/>
    <w:rsid w:val="00875360"/>
    <w:rsid w:val="00877405"/>
    <w:rsid w:val="008820AB"/>
    <w:rsid w:val="008875A1"/>
    <w:rsid w:val="00892C21"/>
    <w:rsid w:val="008A2857"/>
    <w:rsid w:val="008A68E0"/>
    <w:rsid w:val="008B3235"/>
    <w:rsid w:val="008B3B33"/>
    <w:rsid w:val="008B7605"/>
    <w:rsid w:val="008B7962"/>
    <w:rsid w:val="008B7BBC"/>
    <w:rsid w:val="008C6266"/>
    <w:rsid w:val="008D22FA"/>
    <w:rsid w:val="008D4C0B"/>
    <w:rsid w:val="008D5D4D"/>
    <w:rsid w:val="008D6A33"/>
    <w:rsid w:val="008F0936"/>
    <w:rsid w:val="008F70C3"/>
    <w:rsid w:val="009055E6"/>
    <w:rsid w:val="009128E6"/>
    <w:rsid w:val="00936116"/>
    <w:rsid w:val="00941AF9"/>
    <w:rsid w:val="00943203"/>
    <w:rsid w:val="00944012"/>
    <w:rsid w:val="009507B1"/>
    <w:rsid w:val="0095379A"/>
    <w:rsid w:val="00953E09"/>
    <w:rsid w:val="009574E0"/>
    <w:rsid w:val="00957CEB"/>
    <w:rsid w:val="00960962"/>
    <w:rsid w:val="009642B3"/>
    <w:rsid w:val="00970CBA"/>
    <w:rsid w:val="00974479"/>
    <w:rsid w:val="00982E46"/>
    <w:rsid w:val="0098700C"/>
    <w:rsid w:val="00991AD8"/>
    <w:rsid w:val="00997890"/>
    <w:rsid w:val="009A03F7"/>
    <w:rsid w:val="009A5972"/>
    <w:rsid w:val="009B0D61"/>
    <w:rsid w:val="009B1B1D"/>
    <w:rsid w:val="009B3F41"/>
    <w:rsid w:val="009B59D5"/>
    <w:rsid w:val="009B6C8A"/>
    <w:rsid w:val="009C5EBB"/>
    <w:rsid w:val="009E251D"/>
    <w:rsid w:val="009F272A"/>
    <w:rsid w:val="009F282C"/>
    <w:rsid w:val="00A10279"/>
    <w:rsid w:val="00A17AB5"/>
    <w:rsid w:val="00A23AEB"/>
    <w:rsid w:val="00A32349"/>
    <w:rsid w:val="00A471BB"/>
    <w:rsid w:val="00A534D8"/>
    <w:rsid w:val="00A537C3"/>
    <w:rsid w:val="00A5791F"/>
    <w:rsid w:val="00A6369F"/>
    <w:rsid w:val="00A66466"/>
    <w:rsid w:val="00A746CC"/>
    <w:rsid w:val="00A772D1"/>
    <w:rsid w:val="00A774F6"/>
    <w:rsid w:val="00A81929"/>
    <w:rsid w:val="00A8744E"/>
    <w:rsid w:val="00A93972"/>
    <w:rsid w:val="00A93ABC"/>
    <w:rsid w:val="00A93DFA"/>
    <w:rsid w:val="00A94A19"/>
    <w:rsid w:val="00A971DF"/>
    <w:rsid w:val="00AA22A7"/>
    <w:rsid w:val="00AA6180"/>
    <w:rsid w:val="00AA6975"/>
    <w:rsid w:val="00AA7169"/>
    <w:rsid w:val="00AB0F64"/>
    <w:rsid w:val="00AB4094"/>
    <w:rsid w:val="00AC19C5"/>
    <w:rsid w:val="00AC5354"/>
    <w:rsid w:val="00AC5E58"/>
    <w:rsid w:val="00AD1C72"/>
    <w:rsid w:val="00AD4DA1"/>
    <w:rsid w:val="00AE34D5"/>
    <w:rsid w:val="00AE3D36"/>
    <w:rsid w:val="00AE4660"/>
    <w:rsid w:val="00AE7595"/>
    <w:rsid w:val="00AF08C6"/>
    <w:rsid w:val="00AF3637"/>
    <w:rsid w:val="00AF6DEB"/>
    <w:rsid w:val="00B02E5A"/>
    <w:rsid w:val="00B04C17"/>
    <w:rsid w:val="00B05946"/>
    <w:rsid w:val="00B06ADD"/>
    <w:rsid w:val="00B166BB"/>
    <w:rsid w:val="00B16AE7"/>
    <w:rsid w:val="00B20152"/>
    <w:rsid w:val="00B217C7"/>
    <w:rsid w:val="00B2518A"/>
    <w:rsid w:val="00B34AF1"/>
    <w:rsid w:val="00B441D6"/>
    <w:rsid w:val="00B51571"/>
    <w:rsid w:val="00B55307"/>
    <w:rsid w:val="00B64FE9"/>
    <w:rsid w:val="00B66BC7"/>
    <w:rsid w:val="00B80B1E"/>
    <w:rsid w:val="00B84A4B"/>
    <w:rsid w:val="00B96B2D"/>
    <w:rsid w:val="00BB11D6"/>
    <w:rsid w:val="00BC22C6"/>
    <w:rsid w:val="00BD0327"/>
    <w:rsid w:val="00BD05B3"/>
    <w:rsid w:val="00BD4E05"/>
    <w:rsid w:val="00BD739C"/>
    <w:rsid w:val="00BE4E43"/>
    <w:rsid w:val="00BE6582"/>
    <w:rsid w:val="00BF5DC1"/>
    <w:rsid w:val="00BF7A01"/>
    <w:rsid w:val="00C06431"/>
    <w:rsid w:val="00C11903"/>
    <w:rsid w:val="00C11BD0"/>
    <w:rsid w:val="00C2732D"/>
    <w:rsid w:val="00C32259"/>
    <w:rsid w:val="00C5273F"/>
    <w:rsid w:val="00C545F3"/>
    <w:rsid w:val="00C54FED"/>
    <w:rsid w:val="00C57B48"/>
    <w:rsid w:val="00C62800"/>
    <w:rsid w:val="00C632E6"/>
    <w:rsid w:val="00C703B4"/>
    <w:rsid w:val="00C76B52"/>
    <w:rsid w:val="00C81470"/>
    <w:rsid w:val="00C90E41"/>
    <w:rsid w:val="00C910A1"/>
    <w:rsid w:val="00C914E1"/>
    <w:rsid w:val="00C9178D"/>
    <w:rsid w:val="00C9217C"/>
    <w:rsid w:val="00C9348E"/>
    <w:rsid w:val="00CA64E5"/>
    <w:rsid w:val="00CA6559"/>
    <w:rsid w:val="00CA6F4E"/>
    <w:rsid w:val="00CB4604"/>
    <w:rsid w:val="00CB6E06"/>
    <w:rsid w:val="00CC49D3"/>
    <w:rsid w:val="00CD266F"/>
    <w:rsid w:val="00CD3ECC"/>
    <w:rsid w:val="00CD6BA7"/>
    <w:rsid w:val="00CE642B"/>
    <w:rsid w:val="00CF0495"/>
    <w:rsid w:val="00D03539"/>
    <w:rsid w:val="00D04915"/>
    <w:rsid w:val="00D23B89"/>
    <w:rsid w:val="00D33259"/>
    <w:rsid w:val="00D47106"/>
    <w:rsid w:val="00D501D1"/>
    <w:rsid w:val="00D63340"/>
    <w:rsid w:val="00D70006"/>
    <w:rsid w:val="00D70334"/>
    <w:rsid w:val="00D70494"/>
    <w:rsid w:val="00D817B7"/>
    <w:rsid w:val="00D8222E"/>
    <w:rsid w:val="00D83863"/>
    <w:rsid w:val="00D8400D"/>
    <w:rsid w:val="00D90196"/>
    <w:rsid w:val="00D903BE"/>
    <w:rsid w:val="00D942EA"/>
    <w:rsid w:val="00DC2104"/>
    <w:rsid w:val="00DC6C74"/>
    <w:rsid w:val="00DD1E4C"/>
    <w:rsid w:val="00DE3FCF"/>
    <w:rsid w:val="00DF1B2C"/>
    <w:rsid w:val="00DF60E3"/>
    <w:rsid w:val="00DF60ED"/>
    <w:rsid w:val="00DF7EBA"/>
    <w:rsid w:val="00E018BB"/>
    <w:rsid w:val="00E027F0"/>
    <w:rsid w:val="00E15B56"/>
    <w:rsid w:val="00E17FC3"/>
    <w:rsid w:val="00E20D21"/>
    <w:rsid w:val="00E3080C"/>
    <w:rsid w:val="00E33296"/>
    <w:rsid w:val="00E3383E"/>
    <w:rsid w:val="00E343DC"/>
    <w:rsid w:val="00E376B8"/>
    <w:rsid w:val="00E4795E"/>
    <w:rsid w:val="00E51C71"/>
    <w:rsid w:val="00E5347D"/>
    <w:rsid w:val="00E54982"/>
    <w:rsid w:val="00E60381"/>
    <w:rsid w:val="00E66FD9"/>
    <w:rsid w:val="00E77606"/>
    <w:rsid w:val="00E8020A"/>
    <w:rsid w:val="00E8535C"/>
    <w:rsid w:val="00E859AF"/>
    <w:rsid w:val="00E972CD"/>
    <w:rsid w:val="00EA3478"/>
    <w:rsid w:val="00EA60E7"/>
    <w:rsid w:val="00EB14FB"/>
    <w:rsid w:val="00EB1834"/>
    <w:rsid w:val="00EC4407"/>
    <w:rsid w:val="00EE5036"/>
    <w:rsid w:val="00EE6B36"/>
    <w:rsid w:val="00EF59E8"/>
    <w:rsid w:val="00F01733"/>
    <w:rsid w:val="00F0389E"/>
    <w:rsid w:val="00F0562C"/>
    <w:rsid w:val="00F12242"/>
    <w:rsid w:val="00F15E0B"/>
    <w:rsid w:val="00F23285"/>
    <w:rsid w:val="00F32D84"/>
    <w:rsid w:val="00F4055E"/>
    <w:rsid w:val="00F43062"/>
    <w:rsid w:val="00F47952"/>
    <w:rsid w:val="00F52D5E"/>
    <w:rsid w:val="00F6034C"/>
    <w:rsid w:val="00F604DB"/>
    <w:rsid w:val="00F621DA"/>
    <w:rsid w:val="00F66CF4"/>
    <w:rsid w:val="00F7394F"/>
    <w:rsid w:val="00F80C6B"/>
    <w:rsid w:val="00F83A1C"/>
    <w:rsid w:val="00F847E7"/>
    <w:rsid w:val="00F8732C"/>
    <w:rsid w:val="00F8757D"/>
    <w:rsid w:val="00F87BA9"/>
    <w:rsid w:val="00F922FD"/>
    <w:rsid w:val="00F93B95"/>
    <w:rsid w:val="00F94FB7"/>
    <w:rsid w:val="00F96B86"/>
    <w:rsid w:val="00FA3291"/>
    <w:rsid w:val="00FA4B5F"/>
    <w:rsid w:val="00FA5543"/>
    <w:rsid w:val="00FB0ECE"/>
    <w:rsid w:val="00FB680E"/>
    <w:rsid w:val="00FB7406"/>
    <w:rsid w:val="00FC7695"/>
    <w:rsid w:val="00FD20A6"/>
    <w:rsid w:val="00FF528C"/>
    <w:rsid w:val="00FF7A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2C320"/>
  <w15:docId w15:val="{66AB3154-558D-43C4-9D6B-DC02683F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A3B"/>
  </w:style>
  <w:style w:type="paragraph" w:styleId="Heading1">
    <w:name w:val="heading 1"/>
    <w:basedOn w:val="Normal"/>
    <w:next w:val="Normal"/>
    <w:link w:val="Heading1Char"/>
    <w:uiPriority w:val="9"/>
    <w:qFormat/>
    <w:rsid w:val="005108F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A3B"/>
    <w:pPr>
      <w:ind w:left="720"/>
      <w:contextualSpacing/>
    </w:pPr>
  </w:style>
  <w:style w:type="paragraph" w:styleId="BalloonText">
    <w:name w:val="Balloon Text"/>
    <w:basedOn w:val="Normal"/>
    <w:link w:val="BalloonTextChar"/>
    <w:uiPriority w:val="99"/>
    <w:semiHidden/>
    <w:unhideWhenUsed/>
    <w:rsid w:val="004E7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85D"/>
    <w:rPr>
      <w:rFonts w:ascii="Tahoma" w:hAnsi="Tahoma" w:cs="Tahoma"/>
      <w:sz w:val="16"/>
      <w:szCs w:val="16"/>
    </w:rPr>
  </w:style>
  <w:style w:type="paragraph" w:styleId="Header">
    <w:name w:val="header"/>
    <w:basedOn w:val="Normal"/>
    <w:link w:val="HeaderChar"/>
    <w:uiPriority w:val="99"/>
    <w:unhideWhenUsed/>
    <w:rsid w:val="00A57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91F"/>
  </w:style>
  <w:style w:type="paragraph" w:styleId="Footer">
    <w:name w:val="footer"/>
    <w:basedOn w:val="Normal"/>
    <w:link w:val="FooterChar"/>
    <w:uiPriority w:val="99"/>
    <w:unhideWhenUsed/>
    <w:rsid w:val="00A57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91F"/>
  </w:style>
  <w:style w:type="character" w:customStyle="1" w:styleId="Heading1Char">
    <w:name w:val="Heading 1 Char"/>
    <w:basedOn w:val="DefaultParagraphFont"/>
    <w:link w:val="Heading1"/>
    <w:uiPriority w:val="9"/>
    <w:rsid w:val="005108F1"/>
    <w:rPr>
      <w:rFonts w:asciiTheme="majorHAnsi" w:eastAsiaTheme="majorEastAsia" w:hAnsiTheme="majorHAnsi" w:cstheme="majorBidi"/>
      <w:b/>
      <w:bCs/>
      <w:color w:val="365F91" w:themeColor="accent1" w:themeShade="BF"/>
      <w:sz w:val="28"/>
      <w:szCs w:val="28"/>
      <w:lang w:val="en-US"/>
    </w:rPr>
  </w:style>
  <w:style w:type="character" w:styleId="CommentReference">
    <w:name w:val="annotation reference"/>
    <w:basedOn w:val="DefaultParagraphFont"/>
    <w:uiPriority w:val="99"/>
    <w:semiHidden/>
    <w:unhideWhenUsed/>
    <w:rsid w:val="00305E68"/>
    <w:rPr>
      <w:sz w:val="16"/>
      <w:szCs w:val="16"/>
    </w:rPr>
  </w:style>
  <w:style w:type="paragraph" w:styleId="CommentText">
    <w:name w:val="annotation text"/>
    <w:basedOn w:val="Normal"/>
    <w:link w:val="CommentTextChar"/>
    <w:uiPriority w:val="99"/>
    <w:semiHidden/>
    <w:unhideWhenUsed/>
    <w:rsid w:val="00305E68"/>
    <w:pPr>
      <w:spacing w:line="240" w:lineRule="auto"/>
    </w:pPr>
    <w:rPr>
      <w:sz w:val="20"/>
      <w:szCs w:val="20"/>
    </w:rPr>
  </w:style>
  <w:style w:type="character" w:customStyle="1" w:styleId="CommentTextChar">
    <w:name w:val="Comment Text Char"/>
    <w:basedOn w:val="DefaultParagraphFont"/>
    <w:link w:val="CommentText"/>
    <w:uiPriority w:val="99"/>
    <w:semiHidden/>
    <w:rsid w:val="00305E68"/>
    <w:rPr>
      <w:sz w:val="20"/>
      <w:szCs w:val="20"/>
    </w:rPr>
  </w:style>
  <w:style w:type="paragraph" w:styleId="CommentSubject">
    <w:name w:val="annotation subject"/>
    <w:basedOn w:val="CommentText"/>
    <w:next w:val="CommentText"/>
    <w:link w:val="CommentSubjectChar"/>
    <w:uiPriority w:val="99"/>
    <w:semiHidden/>
    <w:unhideWhenUsed/>
    <w:rsid w:val="00305E68"/>
    <w:rPr>
      <w:b/>
      <w:bCs/>
    </w:rPr>
  </w:style>
  <w:style w:type="character" w:customStyle="1" w:styleId="CommentSubjectChar">
    <w:name w:val="Comment Subject Char"/>
    <w:basedOn w:val="CommentTextChar"/>
    <w:link w:val="CommentSubject"/>
    <w:uiPriority w:val="99"/>
    <w:semiHidden/>
    <w:rsid w:val="00305E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4881">
      <w:bodyDiv w:val="1"/>
      <w:marLeft w:val="0"/>
      <w:marRight w:val="0"/>
      <w:marTop w:val="0"/>
      <w:marBottom w:val="0"/>
      <w:divBdr>
        <w:top w:val="none" w:sz="0" w:space="0" w:color="auto"/>
        <w:left w:val="none" w:sz="0" w:space="0" w:color="auto"/>
        <w:bottom w:val="none" w:sz="0" w:space="0" w:color="auto"/>
        <w:right w:val="none" w:sz="0" w:space="0" w:color="auto"/>
      </w:divBdr>
    </w:div>
    <w:div w:id="309870466">
      <w:bodyDiv w:val="1"/>
      <w:marLeft w:val="0"/>
      <w:marRight w:val="0"/>
      <w:marTop w:val="0"/>
      <w:marBottom w:val="0"/>
      <w:divBdr>
        <w:top w:val="none" w:sz="0" w:space="0" w:color="auto"/>
        <w:left w:val="none" w:sz="0" w:space="0" w:color="auto"/>
        <w:bottom w:val="none" w:sz="0" w:space="0" w:color="auto"/>
        <w:right w:val="none" w:sz="0" w:space="0" w:color="auto"/>
      </w:divBdr>
    </w:div>
    <w:div w:id="407114506">
      <w:bodyDiv w:val="1"/>
      <w:marLeft w:val="0"/>
      <w:marRight w:val="0"/>
      <w:marTop w:val="0"/>
      <w:marBottom w:val="0"/>
      <w:divBdr>
        <w:top w:val="none" w:sz="0" w:space="0" w:color="auto"/>
        <w:left w:val="none" w:sz="0" w:space="0" w:color="auto"/>
        <w:bottom w:val="none" w:sz="0" w:space="0" w:color="auto"/>
        <w:right w:val="none" w:sz="0" w:space="0" w:color="auto"/>
      </w:divBdr>
    </w:div>
    <w:div w:id="479149943">
      <w:bodyDiv w:val="1"/>
      <w:marLeft w:val="0"/>
      <w:marRight w:val="0"/>
      <w:marTop w:val="0"/>
      <w:marBottom w:val="0"/>
      <w:divBdr>
        <w:top w:val="none" w:sz="0" w:space="0" w:color="auto"/>
        <w:left w:val="none" w:sz="0" w:space="0" w:color="auto"/>
        <w:bottom w:val="none" w:sz="0" w:space="0" w:color="auto"/>
        <w:right w:val="none" w:sz="0" w:space="0" w:color="auto"/>
      </w:divBdr>
    </w:div>
    <w:div w:id="566769029">
      <w:bodyDiv w:val="1"/>
      <w:marLeft w:val="0"/>
      <w:marRight w:val="0"/>
      <w:marTop w:val="0"/>
      <w:marBottom w:val="0"/>
      <w:divBdr>
        <w:top w:val="none" w:sz="0" w:space="0" w:color="auto"/>
        <w:left w:val="none" w:sz="0" w:space="0" w:color="auto"/>
        <w:bottom w:val="none" w:sz="0" w:space="0" w:color="auto"/>
        <w:right w:val="none" w:sz="0" w:space="0" w:color="auto"/>
      </w:divBdr>
    </w:div>
    <w:div w:id="610823628">
      <w:bodyDiv w:val="1"/>
      <w:marLeft w:val="0"/>
      <w:marRight w:val="0"/>
      <w:marTop w:val="0"/>
      <w:marBottom w:val="0"/>
      <w:divBdr>
        <w:top w:val="none" w:sz="0" w:space="0" w:color="auto"/>
        <w:left w:val="none" w:sz="0" w:space="0" w:color="auto"/>
        <w:bottom w:val="none" w:sz="0" w:space="0" w:color="auto"/>
        <w:right w:val="none" w:sz="0" w:space="0" w:color="auto"/>
      </w:divBdr>
      <w:divsChild>
        <w:div w:id="1851676663">
          <w:marLeft w:val="0"/>
          <w:marRight w:val="0"/>
          <w:marTop w:val="0"/>
          <w:marBottom w:val="0"/>
          <w:divBdr>
            <w:top w:val="none" w:sz="0" w:space="0" w:color="auto"/>
            <w:left w:val="none" w:sz="0" w:space="0" w:color="auto"/>
            <w:bottom w:val="none" w:sz="0" w:space="0" w:color="auto"/>
            <w:right w:val="none" w:sz="0" w:space="0" w:color="auto"/>
          </w:divBdr>
        </w:div>
        <w:div w:id="897589698">
          <w:marLeft w:val="0"/>
          <w:marRight w:val="0"/>
          <w:marTop w:val="0"/>
          <w:marBottom w:val="0"/>
          <w:divBdr>
            <w:top w:val="none" w:sz="0" w:space="0" w:color="auto"/>
            <w:left w:val="none" w:sz="0" w:space="0" w:color="auto"/>
            <w:bottom w:val="none" w:sz="0" w:space="0" w:color="auto"/>
            <w:right w:val="none" w:sz="0" w:space="0" w:color="auto"/>
          </w:divBdr>
        </w:div>
        <w:div w:id="397938793">
          <w:marLeft w:val="0"/>
          <w:marRight w:val="0"/>
          <w:marTop w:val="0"/>
          <w:marBottom w:val="0"/>
          <w:divBdr>
            <w:top w:val="none" w:sz="0" w:space="0" w:color="auto"/>
            <w:left w:val="none" w:sz="0" w:space="0" w:color="auto"/>
            <w:bottom w:val="none" w:sz="0" w:space="0" w:color="auto"/>
            <w:right w:val="none" w:sz="0" w:space="0" w:color="auto"/>
          </w:divBdr>
        </w:div>
        <w:div w:id="620378604">
          <w:marLeft w:val="0"/>
          <w:marRight w:val="0"/>
          <w:marTop w:val="0"/>
          <w:marBottom w:val="0"/>
          <w:divBdr>
            <w:top w:val="none" w:sz="0" w:space="0" w:color="auto"/>
            <w:left w:val="none" w:sz="0" w:space="0" w:color="auto"/>
            <w:bottom w:val="none" w:sz="0" w:space="0" w:color="auto"/>
            <w:right w:val="none" w:sz="0" w:space="0" w:color="auto"/>
          </w:divBdr>
        </w:div>
        <w:div w:id="656227203">
          <w:marLeft w:val="0"/>
          <w:marRight w:val="0"/>
          <w:marTop w:val="0"/>
          <w:marBottom w:val="0"/>
          <w:divBdr>
            <w:top w:val="none" w:sz="0" w:space="0" w:color="auto"/>
            <w:left w:val="none" w:sz="0" w:space="0" w:color="auto"/>
            <w:bottom w:val="none" w:sz="0" w:space="0" w:color="auto"/>
            <w:right w:val="none" w:sz="0" w:space="0" w:color="auto"/>
          </w:divBdr>
        </w:div>
      </w:divsChild>
    </w:div>
    <w:div w:id="825781968">
      <w:bodyDiv w:val="1"/>
      <w:marLeft w:val="0"/>
      <w:marRight w:val="0"/>
      <w:marTop w:val="0"/>
      <w:marBottom w:val="0"/>
      <w:divBdr>
        <w:top w:val="none" w:sz="0" w:space="0" w:color="auto"/>
        <w:left w:val="none" w:sz="0" w:space="0" w:color="auto"/>
        <w:bottom w:val="none" w:sz="0" w:space="0" w:color="auto"/>
        <w:right w:val="none" w:sz="0" w:space="0" w:color="auto"/>
      </w:divBdr>
    </w:div>
    <w:div w:id="848301418">
      <w:bodyDiv w:val="1"/>
      <w:marLeft w:val="0"/>
      <w:marRight w:val="0"/>
      <w:marTop w:val="0"/>
      <w:marBottom w:val="0"/>
      <w:divBdr>
        <w:top w:val="none" w:sz="0" w:space="0" w:color="auto"/>
        <w:left w:val="none" w:sz="0" w:space="0" w:color="auto"/>
        <w:bottom w:val="none" w:sz="0" w:space="0" w:color="auto"/>
        <w:right w:val="none" w:sz="0" w:space="0" w:color="auto"/>
      </w:divBdr>
    </w:div>
    <w:div w:id="1095131484">
      <w:bodyDiv w:val="1"/>
      <w:marLeft w:val="0"/>
      <w:marRight w:val="0"/>
      <w:marTop w:val="0"/>
      <w:marBottom w:val="0"/>
      <w:divBdr>
        <w:top w:val="none" w:sz="0" w:space="0" w:color="auto"/>
        <w:left w:val="none" w:sz="0" w:space="0" w:color="auto"/>
        <w:bottom w:val="none" w:sz="0" w:space="0" w:color="auto"/>
        <w:right w:val="none" w:sz="0" w:space="0" w:color="auto"/>
      </w:divBdr>
    </w:div>
    <w:div w:id="1118985041">
      <w:bodyDiv w:val="1"/>
      <w:marLeft w:val="0"/>
      <w:marRight w:val="0"/>
      <w:marTop w:val="0"/>
      <w:marBottom w:val="0"/>
      <w:divBdr>
        <w:top w:val="none" w:sz="0" w:space="0" w:color="auto"/>
        <w:left w:val="none" w:sz="0" w:space="0" w:color="auto"/>
        <w:bottom w:val="none" w:sz="0" w:space="0" w:color="auto"/>
        <w:right w:val="none" w:sz="0" w:space="0" w:color="auto"/>
      </w:divBdr>
    </w:div>
    <w:div w:id="1213419968">
      <w:bodyDiv w:val="1"/>
      <w:marLeft w:val="0"/>
      <w:marRight w:val="0"/>
      <w:marTop w:val="0"/>
      <w:marBottom w:val="0"/>
      <w:divBdr>
        <w:top w:val="none" w:sz="0" w:space="0" w:color="auto"/>
        <w:left w:val="none" w:sz="0" w:space="0" w:color="auto"/>
        <w:bottom w:val="none" w:sz="0" w:space="0" w:color="auto"/>
        <w:right w:val="none" w:sz="0" w:space="0" w:color="auto"/>
      </w:divBdr>
    </w:div>
    <w:div w:id="1459683895">
      <w:bodyDiv w:val="1"/>
      <w:marLeft w:val="0"/>
      <w:marRight w:val="0"/>
      <w:marTop w:val="0"/>
      <w:marBottom w:val="0"/>
      <w:divBdr>
        <w:top w:val="none" w:sz="0" w:space="0" w:color="auto"/>
        <w:left w:val="none" w:sz="0" w:space="0" w:color="auto"/>
        <w:bottom w:val="none" w:sz="0" w:space="0" w:color="auto"/>
        <w:right w:val="none" w:sz="0" w:space="0" w:color="auto"/>
      </w:divBdr>
    </w:div>
    <w:div w:id="1587301734">
      <w:bodyDiv w:val="1"/>
      <w:marLeft w:val="0"/>
      <w:marRight w:val="0"/>
      <w:marTop w:val="0"/>
      <w:marBottom w:val="0"/>
      <w:divBdr>
        <w:top w:val="none" w:sz="0" w:space="0" w:color="auto"/>
        <w:left w:val="none" w:sz="0" w:space="0" w:color="auto"/>
        <w:bottom w:val="none" w:sz="0" w:space="0" w:color="auto"/>
        <w:right w:val="none" w:sz="0" w:space="0" w:color="auto"/>
      </w:divBdr>
    </w:div>
    <w:div w:id="1632900318">
      <w:bodyDiv w:val="1"/>
      <w:marLeft w:val="0"/>
      <w:marRight w:val="0"/>
      <w:marTop w:val="0"/>
      <w:marBottom w:val="0"/>
      <w:divBdr>
        <w:top w:val="none" w:sz="0" w:space="0" w:color="auto"/>
        <w:left w:val="none" w:sz="0" w:space="0" w:color="auto"/>
        <w:bottom w:val="none" w:sz="0" w:space="0" w:color="auto"/>
        <w:right w:val="none" w:sz="0" w:space="0" w:color="auto"/>
      </w:divBdr>
    </w:div>
    <w:div w:id="1706757675">
      <w:bodyDiv w:val="1"/>
      <w:marLeft w:val="0"/>
      <w:marRight w:val="0"/>
      <w:marTop w:val="0"/>
      <w:marBottom w:val="0"/>
      <w:divBdr>
        <w:top w:val="none" w:sz="0" w:space="0" w:color="auto"/>
        <w:left w:val="none" w:sz="0" w:space="0" w:color="auto"/>
        <w:bottom w:val="none" w:sz="0" w:space="0" w:color="auto"/>
        <w:right w:val="none" w:sz="0" w:space="0" w:color="auto"/>
      </w:divBdr>
    </w:div>
    <w:div w:id="1769350865">
      <w:bodyDiv w:val="1"/>
      <w:marLeft w:val="0"/>
      <w:marRight w:val="0"/>
      <w:marTop w:val="0"/>
      <w:marBottom w:val="0"/>
      <w:divBdr>
        <w:top w:val="none" w:sz="0" w:space="0" w:color="auto"/>
        <w:left w:val="none" w:sz="0" w:space="0" w:color="auto"/>
        <w:bottom w:val="none" w:sz="0" w:space="0" w:color="auto"/>
        <w:right w:val="none" w:sz="0" w:space="0" w:color="auto"/>
      </w:divBdr>
    </w:div>
    <w:div w:id="1772046077">
      <w:bodyDiv w:val="1"/>
      <w:marLeft w:val="0"/>
      <w:marRight w:val="0"/>
      <w:marTop w:val="0"/>
      <w:marBottom w:val="0"/>
      <w:divBdr>
        <w:top w:val="none" w:sz="0" w:space="0" w:color="auto"/>
        <w:left w:val="none" w:sz="0" w:space="0" w:color="auto"/>
        <w:bottom w:val="none" w:sz="0" w:space="0" w:color="auto"/>
        <w:right w:val="none" w:sz="0" w:space="0" w:color="auto"/>
      </w:divBdr>
    </w:div>
    <w:div w:id="1778745104">
      <w:bodyDiv w:val="1"/>
      <w:marLeft w:val="0"/>
      <w:marRight w:val="0"/>
      <w:marTop w:val="0"/>
      <w:marBottom w:val="0"/>
      <w:divBdr>
        <w:top w:val="none" w:sz="0" w:space="0" w:color="auto"/>
        <w:left w:val="none" w:sz="0" w:space="0" w:color="auto"/>
        <w:bottom w:val="none" w:sz="0" w:space="0" w:color="auto"/>
        <w:right w:val="none" w:sz="0" w:space="0" w:color="auto"/>
      </w:divBdr>
    </w:div>
    <w:div w:id="1785881913">
      <w:bodyDiv w:val="1"/>
      <w:marLeft w:val="0"/>
      <w:marRight w:val="0"/>
      <w:marTop w:val="0"/>
      <w:marBottom w:val="0"/>
      <w:divBdr>
        <w:top w:val="none" w:sz="0" w:space="0" w:color="auto"/>
        <w:left w:val="none" w:sz="0" w:space="0" w:color="auto"/>
        <w:bottom w:val="none" w:sz="0" w:space="0" w:color="auto"/>
        <w:right w:val="none" w:sz="0" w:space="0" w:color="auto"/>
      </w:divBdr>
    </w:div>
    <w:div w:id="2019000139">
      <w:bodyDiv w:val="1"/>
      <w:marLeft w:val="0"/>
      <w:marRight w:val="0"/>
      <w:marTop w:val="0"/>
      <w:marBottom w:val="0"/>
      <w:divBdr>
        <w:top w:val="none" w:sz="0" w:space="0" w:color="auto"/>
        <w:left w:val="none" w:sz="0" w:space="0" w:color="auto"/>
        <w:bottom w:val="none" w:sz="0" w:space="0" w:color="auto"/>
        <w:right w:val="none" w:sz="0" w:space="0" w:color="auto"/>
      </w:divBdr>
    </w:div>
    <w:div w:id="20352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Ngatuere</dc:creator>
  <cp:lastModifiedBy>Gareth Pert</cp:lastModifiedBy>
  <cp:revision>7</cp:revision>
  <dcterms:created xsi:type="dcterms:W3CDTF">2021-02-15T20:56:00Z</dcterms:created>
  <dcterms:modified xsi:type="dcterms:W3CDTF">2021-02-16T02:03:00Z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etDate">
    <vt:lpwstr>2021-02-15T20:56:53Z</vt:lpwstr>
  </property>
  <property fmtid="{D5CDD505-2E9C-101B-9397-08002B2CF9AE}" pid="4" name="MSIP_Label_569bf4a9-87bd-4dbf-a36c-1db5158e5def_Method">
    <vt:lpwstr>Privileged</vt:lpwstr>
  </property>
  <property fmtid="{D5CDD505-2E9C-101B-9397-08002B2CF9AE}" pid="5" name="MSIP_Label_569bf4a9-87bd-4dbf-a36c-1db5158e5def_Name">
    <vt:lpwstr>569bf4a9-87bd-4dbf-a36c-1db5158e5def</vt:lpwstr>
  </property>
  <property fmtid="{D5CDD505-2E9C-101B-9397-08002B2CF9AE}" pid="6" name="MSIP_Label_569bf4a9-87bd-4dbf-a36c-1db5158e5def_SiteId">
    <vt:lpwstr>ea80952e-a476-42d4-aaf4-5457852b0f7e</vt:lpwstr>
  </property>
  <property fmtid="{D5CDD505-2E9C-101B-9397-08002B2CF9AE}" pid="7" name="MSIP_Label_569bf4a9-87bd-4dbf-a36c-1db5158e5def_ActionId">
    <vt:lpwstr>94493af2-cf3f-4b39-b5b2-b6987b4b744f</vt:lpwstr>
  </property>
  <property fmtid="{D5CDD505-2E9C-101B-9397-08002B2CF9AE}" pid="8" name="MSIP_Label_569bf4a9-87bd-4dbf-a36c-1db5158e5def_ContentBits">
    <vt:lpwstr>0</vt:lpwstr>
  </property>
</Properties>
</file>